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D46B7" w14:textId="7F76BCBF" w:rsidR="000A2358" w:rsidRPr="000A2358" w:rsidRDefault="000A2358" w:rsidP="000A2358">
      <w:pPr>
        <w:spacing w:after="0" w:line="240" w:lineRule="auto"/>
      </w:pPr>
    </w:p>
    <w:p w14:paraId="29771F4B" w14:textId="02A8BBA2" w:rsidR="000A2358" w:rsidRPr="000A2358" w:rsidRDefault="000A2358" w:rsidP="000A2358">
      <w:pPr>
        <w:spacing w:after="0" w:line="240" w:lineRule="auto"/>
        <w:jc w:val="center"/>
        <w:rPr>
          <w:b/>
          <w:bCs/>
          <w:sz w:val="24"/>
          <w:szCs w:val="24"/>
        </w:rPr>
      </w:pPr>
      <w:r w:rsidRPr="000A2358">
        <w:rPr>
          <w:b/>
          <w:bCs/>
          <w:sz w:val="24"/>
          <w:szCs w:val="24"/>
        </w:rPr>
        <w:t>D</w:t>
      </w:r>
      <w:r w:rsidRPr="000A2358">
        <w:rPr>
          <w:b/>
          <w:bCs/>
          <w:sz w:val="24"/>
          <w:szCs w:val="24"/>
        </w:rPr>
        <w:t xml:space="preserve">eerview Equine Interventions </w:t>
      </w:r>
      <w:r>
        <w:rPr>
          <w:b/>
          <w:bCs/>
          <w:sz w:val="24"/>
          <w:szCs w:val="24"/>
        </w:rPr>
        <w:t>(DEI)</w:t>
      </w:r>
    </w:p>
    <w:p w14:paraId="05EEB260" w14:textId="0933F628" w:rsidR="000A2358" w:rsidRPr="000A2358" w:rsidRDefault="000A2358" w:rsidP="000A2358">
      <w:pPr>
        <w:spacing w:after="0" w:line="240" w:lineRule="auto"/>
        <w:jc w:val="center"/>
        <w:rPr>
          <w:b/>
          <w:bCs/>
          <w:sz w:val="24"/>
          <w:szCs w:val="24"/>
        </w:rPr>
      </w:pPr>
      <w:r w:rsidRPr="000A2358">
        <w:rPr>
          <w:b/>
          <w:bCs/>
          <w:sz w:val="24"/>
          <w:szCs w:val="24"/>
        </w:rPr>
        <w:t>Whistleblowing Policy</w:t>
      </w:r>
    </w:p>
    <w:p w14:paraId="313DC2D3" w14:textId="77777777" w:rsidR="000A2358" w:rsidRPr="000A2358" w:rsidRDefault="000A2358" w:rsidP="000A2358">
      <w:pPr>
        <w:spacing w:after="0" w:line="240" w:lineRule="auto"/>
        <w:rPr>
          <w:b/>
          <w:bCs/>
        </w:rPr>
      </w:pPr>
      <w:r w:rsidRPr="000A2358">
        <w:rPr>
          <w:b/>
          <w:bCs/>
        </w:rPr>
        <w:t>1. Introduction</w:t>
      </w:r>
    </w:p>
    <w:p w14:paraId="2967EA1A" w14:textId="77777777" w:rsidR="000A2358" w:rsidRPr="000A2358" w:rsidRDefault="000A2358" w:rsidP="000A2358">
      <w:pPr>
        <w:spacing w:after="0" w:line="240" w:lineRule="auto"/>
      </w:pPr>
      <w:r w:rsidRPr="000A2358">
        <w:t>DEI is committed to creating a safe, open, and transparent workplace culture, where employees, volunteers, and contractors are encouraged to raise concerns at the earliest opportunity. We recognise the importance of raising concerns in the public interest, often referred to as “whistleblowing.”</w:t>
      </w:r>
    </w:p>
    <w:p w14:paraId="128CABEF" w14:textId="77777777" w:rsidR="000A2358" w:rsidRPr="000A2358" w:rsidRDefault="000A2358" w:rsidP="000A2358">
      <w:pPr>
        <w:spacing w:after="0" w:line="240" w:lineRule="auto"/>
      </w:pPr>
      <w:r w:rsidRPr="000A2358">
        <w:t>This policy applies to all staff, volunteers, trainees, agency staff, and contractors working with DEI. It is designed to ensure that concerns about wrongdoing are raised safely, handled fairly, and acted upon promptly.</w:t>
      </w:r>
    </w:p>
    <w:p w14:paraId="39ACA40D" w14:textId="703A7121" w:rsidR="000A2358" w:rsidRPr="000A2358" w:rsidRDefault="000A2358" w:rsidP="000A2358">
      <w:pPr>
        <w:spacing w:after="0" w:line="240" w:lineRule="auto"/>
      </w:pPr>
    </w:p>
    <w:p w14:paraId="2F1E515A" w14:textId="77777777" w:rsidR="000A2358" w:rsidRPr="000A2358" w:rsidRDefault="000A2358" w:rsidP="000A2358">
      <w:pPr>
        <w:spacing w:after="0" w:line="240" w:lineRule="auto"/>
        <w:rPr>
          <w:b/>
          <w:bCs/>
        </w:rPr>
      </w:pPr>
      <w:r w:rsidRPr="000A2358">
        <w:rPr>
          <w:b/>
          <w:bCs/>
        </w:rPr>
        <w:t>2. Purpose</w:t>
      </w:r>
    </w:p>
    <w:p w14:paraId="3923C03D" w14:textId="77777777" w:rsidR="000A2358" w:rsidRPr="000A2358" w:rsidRDefault="000A2358" w:rsidP="000A2358">
      <w:pPr>
        <w:numPr>
          <w:ilvl w:val="0"/>
          <w:numId w:val="13"/>
        </w:numPr>
        <w:spacing w:after="0" w:line="240" w:lineRule="auto"/>
      </w:pPr>
      <w:r w:rsidRPr="000A2358">
        <w:t>To provide a clear procedure for raising concerns about suspected wrongdoing within DEI.</w:t>
      </w:r>
    </w:p>
    <w:p w14:paraId="2B92B622" w14:textId="77777777" w:rsidR="000A2358" w:rsidRPr="000A2358" w:rsidRDefault="000A2358" w:rsidP="000A2358">
      <w:pPr>
        <w:numPr>
          <w:ilvl w:val="0"/>
          <w:numId w:val="13"/>
        </w:numPr>
        <w:spacing w:after="0" w:line="240" w:lineRule="auto"/>
      </w:pPr>
      <w:r w:rsidRPr="000A2358">
        <w:t>To ensure whistleblowers are protected from retaliation or detriment.</w:t>
      </w:r>
    </w:p>
    <w:p w14:paraId="69704C5A" w14:textId="5C15281C" w:rsidR="000A2358" w:rsidRDefault="000A2358" w:rsidP="00A578FD">
      <w:pPr>
        <w:numPr>
          <w:ilvl w:val="0"/>
          <w:numId w:val="13"/>
        </w:numPr>
        <w:spacing w:after="0" w:line="240" w:lineRule="auto"/>
      </w:pPr>
      <w:r w:rsidRPr="000A2358">
        <w:t>To maintain high standards of safety, integrity, and governance</w:t>
      </w:r>
      <w:r>
        <w:t>.</w:t>
      </w:r>
    </w:p>
    <w:p w14:paraId="3E4744F0" w14:textId="77777777" w:rsidR="000A2358" w:rsidRPr="000A2358" w:rsidRDefault="000A2358" w:rsidP="000A2358">
      <w:pPr>
        <w:spacing w:after="0" w:line="240" w:lineRule="auto"/>
        <w:ind w:left="720"/>
      </w:pPr>
    </w:p>
    <w:p w14:paraId="142E0C50" w14:textId="77777777" w:rsidR="000A2358" w:rsidRPr="000A2358" w:rsidRDefault="000A2358" w:rsidP="000A2358">
      <w:pPr>
        <w:spacing w:after="0" w:line="240" w:lineRule="auto"/>
        <w:rPr>
          <w:b/>
          <w:bCs/>
        </w:rPr>
      </w:pPr>
      <w:r w:rsidRPr="000A2358">
        <w:rPr>
          <w:b/>
          <w:bCs/>
        </w:rPr>
        <w:t>3. Definition of Whistleblowing</w:t>
      </w:r>
    </w:p>
    <w:p w14:paraId="459B16F4" w14:textId="77777777" w:rsidR="000A2358" w:rsidRPr="000A2358" w:rsidRDefault="000A2358" w:rsidP="000A2358">
      <w:pPr>
        <w:spacing w:after="0" w:line="240" w:lineRule="auto"/>
      </w:pPr>
      <w:r w:rsidRPr="000A2358">
        <w:t>Whistleblowing occurs when someone who works in or for an organisation reports suspected wrongdoing, illegal activity, unethical behaviour, or risks to health, safety, or welfare. This may include past, present, or anticipated wrongdoing, or attempts to conceal it.</w:t>
      </w:r>
    </w:p>
    <w:p w14:paraId="69CC69D3" w14:textId="77777777" w:rsidR="000A2358" w:rsidRPr="000A2358" w:rsidRDefault="000A2358" w:rsidP="000A2358">
      <w:pPr>
        <w:spacing w:after="0" w:line="240" w:lineRule="auto"/>
      </w:pPr>
      <w:r w:rsidRPr="000A2358">
        <w:t xml:space="preserve">The disclosure must be </w:t>
      </w:r>
      <w:r w:rsidRPr="000A2358">
        <w:rPr>
          <w:b/>
          <w:bCs/>
        </w:rPr>
        <w:t>in the public interest</w:t>
      </w:r>
      <w:r w:rsidRPr="000A2358">
        <w:t>, meaning it affects others (e.g., clients, colleagues, or the wider public), rather than personal grievances.</w:t>
      </w:r>
    </w:p>
    <w:p w14:paraId="6204C607" w14:textId="77777777" w:rsidR="000A2358" w:rsidRPr="000A2358" w:rsidRDefault="000A2358" w:rsidP="000A2358">
      <w:pPr>
        <w:spacing w:after="0" w:line="240" w:lineRule="auto"/>
      </w:pPr>
      <w:r w:rsidRPr="000A2358">
        <w:rPr>
          <w:b/>
          <w:bCs/>
        </w:rPr>
        <w:t>Examples in an equine-assisted learning context may include:</w:t>
      </w:r>
    </w:p>
    <w:p w14:paraId="6C2DD67A" w14:textId="77777777" w:rsidR="000A2358" w:rsidRPr="000A2358" w:rsidRDefault="000A2358" w:rsidP="000A2358">
      <w:pPr>
        <w:numPr>
          <w:ilvl w:val="0"/>
          <w:numId w:val="14"/>
        </w:numPr>
        <w:spacing w:after="0" w:line="240" w:lineRule="auto"/>
      </w:pPr>
      <w:r w:rsidRPr="000A2358">
        <w:t>Unsafe handling of horses or other animals</w:t>
      </w:r>
    </w:p>
    <w:p w14:paraId="358A01A7" w14:textId="77777777" w:rsidR="000A2358" w:rsidRPr="000A2358" w:rsidRDefault="000A2358" w:rsidP="000A2358">
      <w:pPr>
        <w:numPr>
          <w:ilvl w:val="0"/>
          <w:numId w:val="14"/>
        </w:numPr>
        <w:spacing w:after="0" w:line="240" w:lineRule="auto"/>
      </w:pPr>
      <w:r w:rsidRPr="000A2358">
        <w:t>Breaches of health and safety procedures or risk assessments</w:t>
      </w:r>
    </w:p>
    <w:p w14:paraId="0A6E3CE9" w14:textId="77777777" w:rsidR="000A2358" w:rsidRPr="000A2358" w:rsidRDefault="000A2358" w:rsidP="000A2358">
      <w:pPr>
        <w:numPr>
          <w:ilvl w:val="0"/>
          <w:numId w:val="14"/>
        </w:numPr>
        <w:spacing w:after="0" w:line="240" w:lineRule="auto"/>
      </w:pPr>
      <w:r w:rsidRPr="000A2358">
        <w:t>Unqualified staff leading sessions</w:t>
      </w:r>
    </w:p>
    <w:p w14:paraId="422376EF" w14:textId="77777777" w:rsidR="000A2358" w:rsidRPr="000A2358" w:rsidRDefault="000A2358" w:rsidP="000A2358">
      <w:pPr>
        <w:numPr>
          <w:ilvl w:val="0"/>
          <w:numId w:val="14"/>
        </w:numPr>
        <w:spacing w:after="0" w:line="240" w:lineRule="auto"/>
      </w:pPr>
      <w:r w:rsidRPr="000A2358">
        <w:t>Concerns about abuse, neglect, or safeguarding failures</w:t>
      </w:r>
    </w:p>
    <w:p w14:paraId="659682D1" w14:textId="77777777" w:rsidR="000A2358" w:rsidRPr="000A2358" w:rsidRDefault="000A2358" w:rsidP="000A2358">
      <w:pPr>
        <w:numPr>
          <w:ilvl w:val="0"/>
          <w:numId w:val="14"/>
        </w:numPr>
        <w:spacing w:after="0" w:line="240" w:lineRule="auto"/>
      </w:pPr>
      <w:r w:rsidRPr="000A2358">
        <w:t>Fraud, theft, or financial mismanagement</w:t>
      </w:r>
    </w:p>
    <w:p w14:paraId="5A257D84" w14:textId="16462BCB" w:rsidR="000A2358" w:rsidRPr="000A2358" w:rsidRDefault="000A2358" w:rsidP="000A2358">
      <w:pPr>
        <w:spacing w:after="0" w:line="240" w:lineRule="auto"/>
      </w:pPr>
    </w:p>
    <w:p w14:paraId="6B4D18E0" w14:textId="77777777" w:rsidR="000A2358" w:rsidRPr="000A2358" w:rsidRDefault="000A2358" w:rsidP="000A2358">
      <w:pPr>
        <w:spacing w:after="0" w:line="240" w:lineRule="auto"/>
        <w:rPr>
          <w:b/>
          <w:bCs/>
        </w:rPr>
      </w:pPr>
      <w:r w:rsidRPr="000A2358">
        <w:rPr>
          <w:b/>
          <w:bCs/>
        </w:rPr>
        <w:t>4. Legal Framework</w:t>
      </w:r>
    </w:p>
    <w:p w14:paraId="07C0471C" w14:textId="77777777" w:rsidR="000A2358" w:rsidRPr="000A2358" w:rsidRDefault="000A2358" w:rsidP="000A2358">
      <w:pPr>
        <w:spacing w:after="0" w:line="240" w:lineRule="auto"/>
      </w:pPr>
      <w:r w:rsidRPr="000A2358">
        <w:t xml:space="preserve">DEI complies with the </w:t>
      </w:r>
      <w:r w:rsidRPr="000A2358">
        <w:rPr>
          <w:b/>
          <w:bCs/>
        </w:rPr>
        <w:t>Public Interest Disclosure Act 1998 (PIDA)</w:t>
      </w:r>
      <w:r w:rsidRPr="000A2358">
        <w:t xml:space="preserve"> and the </w:t>
      </w:r>
      <w:r w:rsidRPr="000A2358">
        <w:rPr>
          <w:b/>
          <w:bCs/>
        </w:rPr>
        <w:t>Employment Rights Act 1996</w:t>
      </w:r>
      <w:r w:rsidRPr="000A2358">
        <w:t>, which protect workers from detriment or dismissal for making a qualifying disclosure.</w:t>
      </w:r>
    </w:p>
    <w:p w14:paraId="7674A8DA" w14:textId="77777777" w:rsidR="000A2358" w:rsidRPr="000A2358" w:rsidRDefault="000A2358" w:rsidP="000A2358">
      <w:pPr>
        <w:spacing w:after="0" w:line="240" w:lineRule="auto"/>
      </w:pPr>
      <w:r w:rsidRPr="000A2358">
        <w:t>To qualify for protection, a whistleblower must:</w:t>
      </w:r>
    </w:p>
    <w:p w14:paraId="747EAF6C" w14:textId="77777777" w:rsidR="000A2358" w:rsidRPr="000A2358" w:rsidRDefault="000A2358" w:rsidP="000A2358">
      <w:pPr>
        <w:numPr>
          <w:ilvl w:val="0"/>
          <w:numId w:val="15"/>
        </w:numPr>
        <w:spacing w:after="0" w:line="240" w:lineRule="auto"/>
      </w:pPr>
      <w:r w:rsidRPr="000A2358">
        <w:t>Be a “worker” (employees, trainees, agency staff; excludes volunteers and self-employed individuals, although their concerns will still be treated seriously).</w:t>
      </w:r>
    </w:p>
    <w:p w14:paraId="3B1CC8BB" w14:textId="77777777" w:rsidR="000A2358" w:rsidRPr="000A2358" w:rsidRDefault="000A2358" w:rsidP="000A2358">
      <w:pPr>
        <w:numPr>
          <w:ilvl w:val="0"/>
          <w:numId w:val="15"/>
        </w:numPr>
        <w:spacing w:after="0" w:line="240" w:lineRule="auto"/>
      </w:pPr>
      <w:r w:rsidRPr="000A2358">
        <w:t>Reasonably believe the disclosure is in the public interest.</w:t>
      </w:r>
    </w:p>
    <w:p w14:paraId="5A4D8992" w14:textId="77777777" w:rsidR="000A2358" w:rsidRPr="000A2358" w:rsidRDefault="000A2358" w:rsidP="000A2358">
      <w:pPr>
        <w:numPr>
          <w:ilvl w:val="0"/>
          <w:numId w:val="15"/>
        </w:numPr>
        <w:spacing w:after="0" w:line="240" w:lineRule="auto"/>
      </w:pPr>
      <w:r w:rsidRPr="000A2358">
        <w:t>Raise the concern with the appropriate internal or external person.</w:t>
      </w:r>
    </w:p>
    <w:p w14:paraId="6BA3857F" w14:textId="1D0ACBDC" w:rsidR="000A2358" w:rsidRPr="000A2358" w:rsidRDefault="000A2358" w:rsidP="000A2358">
      <w:pPr>
        <w:spacing w:after="0" w:line="240" w:lineRule="auto"/>
      </w:pPr>
    </w:p>
    <w:p w14:paraId="7B4542B5" w14:textId="77777777" w:rsidR="000A2358" w:rsidRPr="000A2358" w:rsidRDefault="000A2358" w:rsidP="000A2358">
      <w:pPr>
        <w:spacing w:after="0" w:line="240" w:lineRule="auto"/>
        <w:rPr>
          <w:b/>
          <w:bCs/>
        </w:rPr>
      </w:pPr>
      <w:r w:rsidRPr="000A2358">
        <w:rPr>
          <w:b/>
          <w:bCs/>
        </w:rPr>
        <w:t>5. Who Can Raise a Concern</w:t>
      </w:r>
    </w:p>
    <w:p w14:paraId="2B1D1769" w14:textId="77777777" w:rsidR="000A2358" w:rsidRPr="000A2358" w:rsidRDefault="000A2358" w:rsidP="000A2358">
      <w:pPr>
        <w:numPr>
          <w:ilvl w:val="0"/>
          <w:numId w:val="16"/>
        </w:numPr>
        <w:spacing w:after="0" w:line="240" w:lineRule="auto"/>
      </w:pPr>
      <w:r w:rsidRPr="000A2358">
        <w:t>Employees, trainees, and agency staff are legally protected.</w:t>
      </w:r>
    </w:p>
    <w:p w14:paraId="1617E227" w14:textId="77777777" w:rsidR="000A2358" w:rsidRPr="000A2358" w:rsidRDefault="000A2358" w:rsidP="000A2358">
      <w:pPr>
        <w:numPr>
          <w:ilvl w:val="0"/>
          <w:numId w:val="16"/>
        </w:numPr>
        <w:spacing w:after="0" w:line="240" w:lineRule="auto"/>
      </w:pPr>
      <w:r w:rsidRPr="000A2358">
        <w:t>Volunteers, contractors, and ex-employees are encouraged to raise concerns; these will be treated seriously even if statutory protection does not apply.</w:t>
      </w:r>
    </w:p>
    <w:p w14:paraId="2D4B9ED4" w14:textId="7459C51E" w:rsidR="000A2358" w:rsidRPr="000A2358" w:rsidRDefault="000A2358" w:rsidP="000A2358">
      <w:pPr>
        <w:numPr>
          <w:ilvl w:val="0"/>
          <w:numId w:val="16"/>
        </w:numPr>
        <w:spacing w:after="0" w:line="240" w:lineRule="auto"/>
      </w:pPr>
      <w:r w:rsidRPr="000A2358">
        <w:t xml:space="preserve">Concerns about the CEO should be raised with the </w:t>
      </w:r>
      <w:r w:rsidRPr="000A2358">
        <w:rPr>
          <w:b/>
          <w:bCs/>
        </w:rPr>
        <w:t>Chair of Trustees</w:t>
      </w:r>
      <w:r>
        <w:t xml:space="preserve"> </w:t>
      </w:r>
      <w:hyperlink r:id="rId7" w:history="1">
        <w:r w:rsidRPr="000A2358">
          <w:rPr>
            <w:rStyle w:val="Hyperlink"/>
          </w:rPr>
          <w:t>Ann Ward</w:t>
        </w:r>
      </w:hyperlink>
    </w:p>
    <w:p w14:paraId="4918E862" w14:textId="32EBF893" w:rsidR="000A2358" w:rsidRPr="000A2358" w:rsidRDefault="000A2358" w:rsidP="000A2358">
      <w:pPr>
        <w:spacing w:after="0" w:line="240" w:lineRule="auto"/>
      </w:pPr>
    </w:p>
    <w:p w14:paraId="5B97C85F" w14:textId="77777777" w:rsidR="000A2358" w:rsidRPr="000A2358" w:rsidRDefault="000A2358" w:rsidP="000A2358">
      <w:pPr>
        <w:spacing w:after="0" w:line="240" w:lineRule="auto"/>
        <w:rPr>
          <w:b/>
          <w:bCs/>
        </w:rPr>
      </w:pPr>
      <w:r w:rsidRPr="000A2358">
        <w:rPr>
          <w:b/>
          <w:bCs/>
        </w:rPr>
        <w:t>6. External Advice</w:t>
      </w:r>
    </w:p>
    <w:p w14:paraId="68EEDD5E" w14:textId="77777777" w:rsidR="000A2358" w:rsidRPr="000A2358" w:rsidRDefault="000A2358" w:rsidP="000A2358">
      <w:pPr>
        <w:spacing w:after="0" w:line="240" w:lineRule="auto"/>
      </w:pPr>
      <w:r w:rsidRPr="000A2358">
        <w:t>Before raising a concern, advice can be sought from:</w:t>
      </w:r>
    </w:p>
    <w:p w14:paraId="2EAF5ED4" w14:textId="77777777" w:rsidR="000A2358" w:rsidRPr="000A2358" w:rsidRDefault="000A2358" w:rsidP="000A2358">
      <w:pPr>
        <w:numPr>
          <w:ilvl w:val="0"/>
          <w:numId w:val="17"/>
        </w:numPr>
        <w:spacing w:after="0" w:line="240" w:lineRule="auto"/>
      </w:pPr>
      <w:r w:rsidRPr="000A2358">
        <w:rPr>
          <w:b/>
          <w:bCs/>
        </w:rPr>
        <w:t>Protect – Speak Up, Stop Harm:</w:t>
      </w:r>
      <w:r w:rsidRPr="000A2358">
        <w:t xml:space="preserve"> </w:t>
      </w:r>
      <w:hyperlink r:id="rId8" w:history="1">
        <w:r w:rsidRPr="000A2358">
          <w:rPr>
            <w:rStyle w:val="Hyperlink"/>
          </w:rPr>
          <w:t>https://protect-advice.org.uk</w:t>
        </w:r>
      </w:hyperlink>
    </w:p>
    <w:p w14:paraId="18D5B246" w14:textId="77777777" w:rsidR="000A2358" w:rsidRPr="000A2358" w:rsidRDefault="000A2358" w:rsidP="000A2358">
      <w:pPr>
        <w:numPr>
          <w:ilvl w:val="0"/>
          <w:numId w:val="17"/>
        </w:numPr>
        <w:spacing w:after="0" w:line="240" w:lineRule="auto"/>
      </w:pPr>
      <w:r w:rsidRPr="000A2358">
        <w:rPr>
          <w:b/>
          <w:bCs/>
        </w:rPr>
        <w:t>Whistleblowers UK:</w:t>
      </w:r>
      <w:r w:rsidRPr="000A2358">
        <w:t xml:space="preserve"> </w:t>
      </w:r>
      <w:hyperlink r:id="rId9" w:history="1">
        <w:r w:rsidRPr="000A2358">
          <w:rPr>
            <w:rStyle w:val="Hyperlink"/>
          </w:rPr>
          <w:t>https://whistleblowers-uk.org</w:t>
        </w:r>
      </w:hyperlink>
    </w:p>
    <w:p w14:paraId="5924F74D" w14:textId="77777777" w:rsidR="000A2358" w:rsidRPr="000A2358" w:rsidRDefault="000A2358" w:rsidP="000A2358">
      <w:pPr>
        <w:numPr>
          <w:ilvl w:val="0"/>
          <w:numId w:val="17"/>
        </w:numPr>
        <w:spacing w:after="0" w:line="240" w:lineRule="auto"/>
      </w:pPr>
      <w:r w:rsidRPr="000A2358">
        <w:rPr>
          <w:b/>
          <w:bCs/>
        </w:rPr>
        <w:lastRenderedPageBreak/>
        <w:t>NSPCC Whistleblowing Advice Line:</w:t>
      </w:r>
      <w:r w:rsidRPr="000A2358">
        <w:t xml:space="preserve"> </w:t>
      </w:r>
      <w:hyperlink r:id="rId10" w:history="1">
        <w:r w:rsidRPr="000A2358">
          <w:rPr>
            <w:rStyle w:val="Hyperlink"/>
          </w:rPr>
          <w:t>https://www.nspcc.org.uk/what-you-can-do/report-abuse/whistleblowing/</w:t>
        </w:r>
      </w:hyperlink>
    </w:p>
    <w:p w14:paraId="7A3036EF" w14:textId="77777777" w:rsidR="000A2358" w:rsidRPr="000A2358" w:rsidRDefault="000A2358" w:rsidP="000A2358">
      <w:pPr>
        <w:numPr>
          <w:ilvl w:val="0"/>
          <w:numId w:val="17"/>
        </w:numPr>
        <w:spacing w:after="0" w:line="240" w:lineRule="auto"/>
      </w:pPr>
      <w:r w:rsidRPr="000A2358">
        <w:rPr>
          <w:b/>
          <w:bCs/>
        </w:rPr>
        <w:t>ACAS Whistleblowing Guidance:</w:t>
      </w:r>
      <w:r w:rsidRPr="000A2358">
        <w:t xml:space="preserve"> </w:t>
      </w:r>
      <w:hyperlink r:id="rId11" w:history="1">
        <w:r w:rsidRPr="000A2358">
          <w:rPr>
            <w:rStyle w:val="Hyperlink"/>
          </w:rPr>
          <w:t>https://www.acas.org.uk/whistleblowing-at-work</w:t>
        </w:r>
      </w:hyperlink>
    </w:p>
    <w:p w14:paraId="26B87998" w14:textId="77777777" w:rsidR="000A2358" w:rsidRPr="000A2358" w:rsidRDefault="000A2358" w:rsidP="000A2358">
      <w:pPr>
        <w:numPr>
          <w:ilvl w:val="0"/>
          <w:numId w:val="17"/>
        </w:numPr>
        <w:spacing w:after="0" w:line="240" w:lineRule="auto"/>
      </w:pPr>
      <w:r w:rsidRPr="000A2358">
        <w:t>Independent legal advisor</w:t>
      </w:r>
    </w:p>
    <w:p w14:paraId="0E1D7EFC" w14:textId="21ABEFCD" w:rsidR="000A2358" w:rsidRPr="000A2358" w:rsidRDefault="000A2358" w:rsidP="000A2358">
      <w:pPr>
        <w:spacing w:after="0" w:line="240" w:lineRule="auto"/>
      </w:pPr>
    </w:p>
    <w:p w14:paraId="1C9D36F5" w14:textId="77777777" w:rsidR="000A2358" w:rsidRPr="000A2358" w:rsidRDefault="000A2358" w:rsidP="000A2358">
      <w:pPr>
        <w:spacing w:after="0" w:line="240" w:lineRule="auto"/>
        <w:rPr>
          <w:b/>
          <w:bCs/>
        </w:rPr>
      </w:pPr>
      <w:r w:rsidRPr="000A2358">
        <w:rPr>
          <w:b/>
          <w:bCs/>
        </w:rPr>
        <w:t>7. How to Raise a Concern</w:t>
      </w:r>
    </w:p>
    <w:p w14:paraId="56520B53" w14:textId="77777777" w:rsidR="000A2358" w:rsidRPr="000A2358" w:rsidRDefault="000A2358" w:rsidP="000A2358">
      <w:pPr>
        <w:numPr>
          <w:ilvl w:val="0"/>
          <w:numId w:val="18"/>
        </w:numPr>
        <w:spacing w:after="0" w:line="240" w:lineRule="auto"/>
      </w:pPr>
      <w:r w:rsidRPr="000A2358">
        <w:rPr>
          <w:b/>
          <w:bCs/>
        </w:rPr>
        <w:t>Internal Reporting</w:t>
      </w:r>
    </w:p>
    <w:p w14:paraId="24896371" w14:textId="070F3F84" w:rsidR="000A2358" w:rsidRPr="000A2358" w:rsidRDefault="000A2358" w:rsidP="000A2358">
      <w:pPr>
        <w:numPr>
          <w:ilvl w:val="1"/>
          <w:numId w:val="18"/>
        </w:numPr>
        <w:spacing w:after="0" w:line="240" w:lineRule="auto"/>
      </w:pPr>
      <w:r w:rsidRPr="000A2358">
        <w:t xml:space="preserve">Raise your concern, preferably in writing, with the </w:t>
      </w:r>
      <w:r w:rsidRPr="000A2358">
        <w:rPr>
          <w:b/>
          <w:bCs/>
        </w:rPr>
        <w:t>CEO</w:t>
      </w:r>
      <w:r>
        <w:t xml:space="preserve"> </w:t>
      </w:r>
      <w:hyperlink r:id="rId12" w:history="1">
        <w:r w:rsidRPr="000A2358">
          <w:rPr>
            <w:rStyle w:val="Hyperlink"/>
          </w:rPr>
          <w:t>Jo Tucker</w:t>
        </w:r>
      </w:hyperlink>
    </w:p>
    <w:p w14:paraId="45B8BC4B" w14:textId="6DB5A104" w:rsidR="000A2358" w:rsidRPr="000A2358" w:rsidRDefault="000A2358" w:rsidP="000A2358">
      <w:pPr>
        <w:numPr>
          <w:ilvl w:val="1"/>
          <w:numId w:val="18"/>
        </w:numPr>
        <w:spacing w:after="0" w:line="240" w:lineRule="auto"/>
      </w:pPr>
      <w:r w:rsidRPr="000A2358">
        <w:t xml:space="preserve">If the concern relates to the CEO or they are unavailable, report to the </w:t>
      </w:r>
      <w:r w:rsidRPr="000A2358">
        <w:rPr>
          <w:b/>
          <w:bCs/>
        </w:rPr>
        <w:t>Chair of Trustees</w:t>
      </w:r>
      <w:r>
        <w:t xml:space="preserve"> </w:t>
      </w:r>
      <w:hyperlink r:id="rId13" w:history="1">
        <w:r w:rsidRPr="000A2358">
          <w:rPr>
            <w:rStyle w:val="Hyperlink"/>
          </w:rPr>
          <w:t>Ann Ward</w:t>
        </w:r>
      </w:hyperlink>
    </w:p>
    <w:p w14:paraId="5B1C65B5" w14:textId="77777777" w:rsidR="000A2358" w:rsidRPr="000A2358" w:rsidRDefault="000A2358" w:rsidP="000A2358">
      <w:pPr>
        <w:numPr>
          <w:ilvl w:val="0"/>
          <w:numId w:val="18"/>
        </w:numPr>
        <w:spacing w:after="0" w:line="240" w:lineRule="auto"/>
      </w:pPr>
      <w:r w:rsidRPr="000A2358">
        <w:rPr>
          <w:b/>
          <w:bCs/>
        </w:rPr>
        <w:t>Anonymous Reporting</w:t>
      </w:r>
    </w:p>
    <w:p w14:paraId="6B76B023" w14:textId="77777777" w:rsidR="000A2358" w:rsidRPr="000A2358" w:rsidRDefault="000A2358" w:rsidP="000A2358">
      <w:pPr>
        <w:numPr>
          <w:ilvl w:val="1"/>
          <w:numId w:val="18"/>
        </w:numPr>
        <w:spacing w:after="0" w:line="240" w:lineRule="auto"/>
      </w:pPr>
      <w:r w:rsidRPr="000A2358">
        <w:t>Concerns may be reported anonymously via [secure email/drop-box]. While anonymity may limit the investigation, all concerns will be treated seriously.</w:t>
      </w:r>
    </w:p>
    <w:p w14:paraId="43501152" w14:textId="77777777" w:rsidR="000A2358" w:rsidRPr="000A2358" w:rsidRDefault="000A2358" w:rsidP="000A2358">
      <w:pPr>
        <w:numPr>
          <w:ilvl w:val="0"/>
          <w:numId w:val="18"/>
        </w:numPr>
        <w:spacing w:after="0" w:line="240" w:lineRule="auto"/>
      </w:pPr>
      <w:r w:rsidRPr="000A2358">
        <w:rPr>
          <w:b/>
          <w:bCs/>
        </w:rPr>
        <w:t>Safeguarding</w:t>
      </w:r>
    </w:p>
    <w:p w14:paraId="71B55220" w14:textId="5AA5DB64" w:rsidR="000A2358" w:rsidRPr="000A2358" w:rsidRDefault="000A2358" w:rsidP="000A2358">
      <w:pPr>
        <w:numPr>
          <w:ilvl w:val="1"/>
          <w:numId w:val="18"/>
        </w:numPr>
        <w:spacing w:after="0" w:line="240" w:lineRule="auto"/>
      </w:pPr>
      <w:r w:rsidRPr="000A2358">
        <w:t xml:space="preserve">If a service user is at immediate risk, staff must </w:t>
      </w:r>
      <w:r w:rsidRPr="000A2358">
        <w:rPr>
          <w:b/>
          <w:bCs/>
        </w:rPr>
        <w:t xml:space="preserve">follow DEI’s </w:t>
      </w:r>
      <w:hyperlink r:id="rId14" w:history="1">
        <w:r w:rsidRPr="000A2358">
          <w:rPr>
            <w:rStyle w:val="Hyperlink"/>
            <w:b/>
            <w:bCs/>
          </w:rPr>
          <w:t>Safeguarding and Child Protection policy</w:t>
        </w:r>
      </w:hyperlink>
      <w:r>
        <w:rPr>
          <w:b/>
          <w:bCs/>
        </w:rPr>
        <w:t xml:space="preserve"> </w:t>
      </w:r>
      <w:r w:rsidRPr="000A2358">
        <w:t xml:space="preserve">and report to the </w:t>
      </w:r>
      <w:r w:rsidRPr="000A2358">
        <w:rPr>
          <w:b/>
          <w:bCs/>
        </w:rPr>
        <w:t>Designated Safeguarding Lead (DSL)</w:t>
      </w:r>
      <w:r w:rsidRPr="000A2358">
        <w:t xml:space="preserve"> </w:t>
      </w:r>
      <w:hyperlink r:id="rId15" w:history="1">
        <w:r w:rsidRPr="000A2358">
          <w:rPr>
            <w:rStyle w:val="Hyperlink"/>
          </w:rPr>
          <w:t>Jo Tucker</w:t>
        </w:r>
      </w:hyperlink>
    </w:p>
    <w:p w14:paraId="541C7F93" w14:textId="27DE7CEC" w:rsidR="000A2358" w:rsidRPr="000A2358" w:rsidRDefault="000A2358" w:rsidP="000A2358">
      <w:pPr>
        <w:spacing w:after="0" w:line="240" w:lineRule="auto"/>
      </w:pPr>
    </w:p>
    <w:p w14:paraId="6456FE3F" w14:textId="77777777" w:rsidR="000A2358" w:rsidRPr="000A2358" w:rsidRDefault="000A2358" w:rsidP="000A2358">
      <w:pPr>
        <w:spacing w:after="0" w:line="240" w:lineRule="auto"/>
        <w:rPr>
          <w:b/>
          <w:bCs/>
        </w:rPr>
      </w:pPr>
      <w:r w:rsidRPr="000A2358">
        <w:rPr>
          <w:b/>
          <w:bCs/>
        </w:rPr>
        <w:t>8. Procedure for Handling Concerns</w:t>
      </w:r>
    </w:p>
    <w:p w14:paraId="78649A8A" w14:textId="77777777" w:rsidR="000A2358" w:rsidRPr="000A2358" w:rsidRDefault="000A2358" w:rsidP="000A2358">
      <w:pPr>
        <w:numPr>
          <w:ilvl w:val="0"/>
          <w:numId w:val="19"/>
        </w:numPr>
        <w:spacing w:after="0" w:line="240" w:lineRule="auto"/>
      </w:pPr>
      <w:r w:rsidRPr="000A2358">
        <w:rPr>
          <w:b/>
          <w:bCs/>
        </w:rPr>
        <w:t>Acknowledgement:</w:t>
      </w:r>
      <w:r w:rsidRPr="000A2358">
        <w:t xml:space="preserve"> Receipt of a whistleblowing concern will be acknowledged within </w:t>
      </w:r>
      <w:r w:rsidRPr="000A2358">
        <w:rPr>
          <w:b/>
          <w:bCs/>
        </w:rPr>
        <w:t>5 working days</w:t>
      </w:r>
      <w:r w:rsidRPr="000A2358">
        <w:t>.</w:t>
      </w:r>
    </w:p>
    <w:p w14:paraId="4689904D" w14:textId="77777777" w:rsidR="000A2358" w:rsidRPr="000A2358" w:rsidRDefault="000A2358" w:rsidP="000A2358">
      <w:pPr>
        <w:numPr>
          <w:ilvl w:val="0"/>
          <w:numId w:val="19"/>
        </w:numPr>
        <w:spacing w:after="0" w:line="240" w:lineRule="auto"/>
      </w:pPr>
      <w:r w:rsidRPr="000A2358">
        <w:rPr>
          <w:b/>
          <w:bCs/>
        </w:rPr>
        <w:t>Initial Assessment:</w:t>
      </w:r>
      <w:r w:rsidRPr="000A2358">
        <w:t xml:space="preserve"> The CEO or Chair of Trustees will meet with the whistleblower within </w:t>
      </w:r>
      <w:r w:rsidRPr="000A2358">
        <w:rPr>
          <w:b/>
          <w:bCs/>
        </w:rPr>
        <w:t>10–15 working days</w:t>
      </w:r>
      <w:r w:rsidRPr="000A2358">
        <w:t xml:space="preserve"> to clarify facts and determine next steps.</w:t>
      </w:r>
    </w:p>
    <w:p w14:paraId="2671B0AB" w14:textId="77777777" w:rsidR="000A2358" w:rsidRPr="000A2358" w:rsidRDefault="000A2358" w:rsidP="000A2358">
      <w:pPr>
        <w:numPr>
          <w:ilvl w:val="0"/>
          <w:numId w:val="19"/>
        </w:numPr>
        <w:spacing w:after="0" w:line="240" w:lineRule="auto"/>
      </w:pPr>
      <w:r w:rsidRPr="000A2358">
        <w:rPr>
          <w:b/>
          <w:bCs/>
        </w:rPr>
        <w:t>Investigation:</w:t>
      </w:r>
    </w:p>
    <w:p w14:paraId="729349AA" w14:textId="77777777" w:rsidR="000A2358" w:rsidRPr="000A2358" w:rsidRDefault="000A2358" w:rsidP="000A2358">
      <w:pPr>
        <w:numPr>
          <w:ilvl w:val="1"/>
          <w:numId w:val="19"/>
        </w:numPr>
        <w:spacing w:after="0" w:line="240" w:lineRule="auto"/>
      </w:pPr>
      <w:r w:rsidRPr="000A2358">
        <w:t xml:space="preserve">Investigations may be internal, external, or </w:t>
      </w:r>
      <w:proofErr w:type="gramStart"/>
      <w:r w:rsidRPr="000A2358">
        <w:t>panel-led</w:t>
      </w:r>
      <w:proofErr w:type="gramEnd"/>
      <w:r w:rsidRPr="000A2358">
        <w:t>.</w:t>
      </w:r>
    </w:p>
    <w:p w14:paraId="177DEBC8" w14:textId="77777777" w:rsidR="000A2358" w:rsidRPr="000A2358" w:rsidRDefault="000A2358" w:rsidP="000A2358">
      <w:pPr>
        <w:numPr>
          <w:ilvl w:val="1"/>
          <w:numId w:val="19"/>
        </w:numPr>
        <w:spacing w:after="0" w:line="240" w:lineRule="auto"/>
      </w:pPr>
      <w:r w:rsidRPr="000A2358">
        <w:t>Serious misconduct will be addressed by a panel appointed by the Board of Trustees.</w:t>
      </w:r>
    </w:p>
    <w:p w14:paraId="54CB1638" w14:textId="77777777" w:rsidR="000A2358" w:rsidRPr="000A2358" w:rsidRDefault="000A2358" w:rsidP="000A2358">
      <w:pPr>
        <w:numPr>
          <w:ilvl w:val="1"/>
          <w:numId w:val="19"/>
        </w:numPr>
        <w:spacing w:after="0" w:line="240" w:lineRule="auto"/>
      </w:pPr>
      <w:r w:rsidRPr="000A2358">
        <w:t>The Board may suspend staff or volunteers during investigations if necessary.</w:t>
      </w:r>
    </w:p>
    <w:p w14:paraId="0E2055E3" w14:textId="77777777" w:rsidR="000A2358" w:rsidRPr="000A2358" w:rsidRDefault="000A2358" w:rsidP="000A2358">
      <w:pPr>
        <w:numPr>
          <w:ilvl w:val="0"/>
          <w:numId w:val="19"/>
        </w:numPr>
        <w:spacing w:after="0" w:line="240" w:lineRule="auto"/>
      </w:pPr>
      <w:r w:rsidRPr="000A2358">
        <w:rPr>
          <w:b/>
          <w:bCs/>
        </w:rPr>
        <w:t>Communication:</w:t>
      </w:r>
    </w:p>
    <w:p w14:paraId="098B9C64" w14:textId="77777777" w:rsidR="000A2358" w:rsidRPr="000A2358" w:rsidRDefault="000A2358" w:rsidP="000A2358">
      <w:pPr>
        <w:numPr>
          <w:ilvl w:val="1"/>
          <w:numId w:val="19"/>
        </w:numPr>
        <w:spacing w:after="0" w:line="240" w:lineRule="auto"/>
      </w:pPr>
      <w:r w:rsidRPr="000A2358">
        <w:t>Whistleblowers will be kept updated at agreed intervals (every 10 working days unless otherwise specified).</w:t>
      </w:r>
    </w:p>
    <w:p w14:paraId="4BFB6146" w14:textId="77777777" w:rsidR="000A2358" w:rsidRPr="000A2358" w:rsidRDefault="000A2358" w:rsidP="000A2358">
      <w:pPr>
        <w:numPr>
          <w:ilvl w:val="1"/>
          <w:numId w:val="19"/>
        </w:numPr>
        <w:spacing w:after="0" w:line="240" w:lineRule="auto"/>
      </w:pPr>
      <w:r w:rsidRPr="000A2358">
        <w:t>Outcomes and actions taken will be communicated, respecting confidentiality where required.</w:t>
      </w:r>
    </w:p>
    <w:p w14:paraId="05CF9612" w14:textId="1D6B2B4D" w:rsidR="000A2358" w:rsidRPr="000A2358" w:rsidRDefault="000A2358" w:rsidP="000A2358">
      <w:pPr>
        <w:spacing w:after="0" w:line="240" w:lineRule="auto"/>
      </w:pPr>
    </w:p>
    <w:p w14:paraId="07BCE9A3" w14:textId="77777777" w:rsidR="000A2358" w:rsidRPr="000A2358" w:rsidRDefault="000A2358" w:rsidP="000A2358">
      <w:pPr>
        <w:spacing w:after="0" w:line="240" w:lineRule="auto"/>
        <w:rPr>
          <w:b/>
          <w:bCs/>
        </w:rPr>
      </w:pPr>
      <w:r w:rsidRPr="000A2358">
        <w:rPr>
          <w:b/>
          <w:bCs/>
        </w:rPr>
        <w:t>9. Protection and Confidentiality</w:t>
      </w:r>
    </w:p>
    <w:p w14:paraId="755BD56C" w14:textId="77777777" w:rsidR="000A2358" w:rsidRPr="000A2358" w:rsidRDefault="000A2358" w:rsidP="000A2358">
      <w:pPr>
        <w:numPr>
          <w:ilvl w:val="0"/>
          <w:numId w:val="20"/>
        </w:numPr>
        <w:spacing w:after="0" w:line="240" w:lineRule="auto"/>
      </w:pPr>
      <w:r w:rsidRPr="000A2358">
        <w:t xml:space="preserve">Whistleblowers raising concerns in good faith will </w:t>
      </w:r>
      <w:r w:rsidRPr="000A2358">
        <w:rPr>
          <w:b/>
          <w:bCs/>
        </w:rPr>
        <w:t>not be subject to retaliation, harassment, or detriment</w:t>
      </w:r>
      <w:r w:rsidRPr="000A2358">
        <w:t>.</w:t>
      </w:r>
    </w:p>
    <w:p w14:paraId="5F178DD0" w14:textId="77777777" w:rsidR="000A2358" w:rsidRPr="000A2358" w:rsidRDefault="000A2358" w:rsidP="000A2358">
      <w:pPr>
        <w:numPr>
          <w:ilvl w:val="0"/>
          <w:numId w:val="20"/>
        </w:numPr>
        <w:spacing w:after="0" w:line="240" w:lineRule="auto"/>
      </w:pPr>
      <w:r w:rsidRPr="000A2358">
        <w:t>Confidentiality will be maintained wherever possible.</w:t>
      </w:r>
    </w:p>
    <w:p w14:paraId="25A84EE3" w14:textId="77777777" w:rsidR="000A2358" w:rsidRPr="000A2358" w:rsidRDefault="000A2358" w:rsidP="000A2358">
      <w:pPr>
        <w:numPr>
          <w:ilvl w:val="0"/>
          <w:numId w:val="20"/>
        </w:numPr>
        <w:spacing w:after="0" w:line="240" w:lineRule="auto"/>
      </w:pPr>
      <w:r w:rsidRPr="000A2358">
        <w:t>Deliberately false allegations may be treated as misconduct.</w:t>
      </w:r>
    </w:p>
    <w:p w14:paraId="44E72AA3" w14:textId="3368D9FA" w:rsidR="000A2358" w:rsidRPr="000A2358" w:rsidRDefault="000A2358" w:rsidP="000A2358">
      <w:pPr>
        <w:spacing w:after="0" w:line="240" w:lineRule="auto"/>
      </w:pPr>
    </w:p>
    <w:p w14:paraId="735B96B0" w14:textId="77777777" w:rsidR="000A2358" w:rsidRPr="000A2358" w:rsidRDefault="000A2358" w:rsidP="000A2358">
      <w:pPr>
        <w:spacing w:after="0" w:line="240" w:lineRule="auto"/>
        <w:rPr>
          <w:b/>
          <w:bCs/>
        </w:rPr>
      </w:pPr>
      <w:r w:rsidRPr="000A2358">
        <w:rPr>
          <w:b/>
          <w:bCs/>
        </w:rPr>
        <w:t>10. Interaction with Other Policies</w:t>
      </w:r>
    </w:p>
    <w:p w14:paraId="1BB0D839" w14:textId="06954F4B" w:rsidR="000A2358" w:rsidRPr="000A2358" w:rsidRDefault="000A2358" w:rsidP="000A2358">
      <w:pPr>
        <w:numPr>
          <w:ilvl w:val="0"/>
          <w:numId w:val="21"/>
        </w:numPr>
        <w:spacing w:after="0" w:line="240" w:lineRule="auto"/>
      </w:pPr>
      <w:r w:rsidRPr="000A2358">
        <w:t xml:space="preserve">Complaints and grievances should be raised under DEI’s </w:t>
      </w:r>
      <w:r>
        <w:rPr>
          <w:b/>
          <w:bCs/>
        </w:rPr>
        <w:t>Complaints Policy</w:t>
      </w:r>
      <w:r w:rsidRPr="000A2358">
        <w:t>.</w:t>
      </w:r>
    </w:p>
    <w:p w14:paraId="6A63C6F7" w14:textId="2FBE18C7" w:rsidR="000A2358" w:rsidRPr="000A2358" w:rsidRDefault="000A2358" w:rsidP="000A2358">
      <w:pPr>
        <w:numPr>
          <w:ilvl w:val="0"/>
          <w:numId w:val="21"/>
        </w:numPr>
        <w:spacing w:after="0" w:line="240" w:lineRule="auto"/>
      </w:pPr>
      <w:r w:rsidRPr="000A2358">
        <w:t>Safeguarding concerns follow DEI’s</w:t>
      </w:r>
      <w:r>
        <w:t xml:space="preserve"> </w:t>
      </w:r>
      <w:hyperlink r:id="rId16" w:history="1">
        <w:r w:rsidRPr="000A2358">
          <w:rPr>
            <w:rStyle w:val="Hyperlink"/>
          </w:rPr>
          <w:t>Safeguarding and Child Protection policy</w:t>
        </w:r>
      </w:hyperlink>
      <w:r w:rsidRPr="000A2358">
        <w:t>.</w:t>
      </w:r>
    </w:p>
    <w:p w14:paraId="10D4DDC8" w14:textId="3BDED695" w:rsidR="000A2358" w:rsidRPr="000A2358" w:rsidRDefault="000A2358" w:rsidP="000A2358">
      <w:pPr>
        <w:numPr>
          <w:ilvl w:val="0"/>
          <w:numId w:val="21"/>
        </w:numPr>
        <w:spacing w:after="0" w:line="240" w:lineRule="auto"/>
      </w:pPr>
      <w:r w:rsidRPr="000A2358">
        <w:t xml:space="preserve">Health and safety risks must also be reported under DEI’s </w:t>
      </w:r>
      <w:hyperlink r:id="rId17" w:history="1">
        <w:r w:rsidR="00B97BA6" w:rsidRPr="00B97BA6">
          <w:rPr>
            <w:rStyle w:val="Hyperlink"/>
          </w:rPr>
          <w:t>Health and Safety policy</w:t>
        </w:r>
      </w:hyperlink>
      <w:r w:rsidRPr="000A2358">
        <w:t>.</w:t>
      </w:r>
    </w:p>
    <w:p w14:paraId="514CF249" w14:textId="6EDAD590" w:rsidR="000A2358" w:rsidRPr="000A2358" w:rsidRDefault="000A2358" w:rsidP="000A2358">
      <w:pPr>
        <w:spacing w:after="0" w:line="240" w:lineRule="auto"/>
      </w:pPr>
    </w:p>
    <w:p w14:paraId="0FF7AFF1" w14:textId="77777777" w:rsidR="000A2358" w:rsidRPr="000A2358" w:rsidRDefault="000A2358" w:rsidP="000A2358">
      <w:pPr>
        <w:spacing w:after="0" w:line="240" w:lineRule="auto"/>
        <w:rPr>
          <w:b/>
          <w:bCs/>
        </w:rPr>
      </w:pPr>
      <w:r w:rsidRPr="000A2358">
        <w:rPr>
          <w:b/>
          <w:bCs/>
        </w:rPr>
        <w:t>11. Review</w:t>
      </w:r>
    </w:p>
    <w:p w14:paraId="2C2566BA" w14:textId="77777777" w:rsidR="000A2358" w:rsidRDefault="000A2358" w:rsidP="000A2358">
      <w:pPr>
        <w:spacing w:after="0" w:line="240" w:lineRule="auto"/>
      </w:pPr>
      <w:r w:rsidRPr="000A2358">
        <w:t xml:space="preserve">This policy will be reviewed </w:t>
      </w:r>
      <w:r w:rsidRPr="000A2358">
        <w:rPr>
          <w:b/>
          <w:bCs/>
        </w:rPr>
        <w:t>annually</w:t>
      </w:r>
      <w:r w:rsidRPr="000A2358">
        <w:t xml:space="preserve"> by the Board of Trustees and updated in line with legislative changes and best practice.</w:t>
      </w:r>
    </w:p>
    <w:p w14:paraId="4C16CAB0" w14:textId="77777777" w:rsidR="00B97BA6" w:rsidRDefault="00B97BA6" w:rsidP="000A2358">
      <w:pPr>
        <w:spacing w:after="0" w:line="240" w:lineRule="auto"/>
      </w:pPr>
    </w:p>
    <w:p w14:paraId="11BEB4C7" w14:textId="77777777" w:rsidR="00B97BA6" w:rsidRDefault="00B97BA6" w:rsidP="000A2358">
      <w:pPr>
        <w:spacing w:after="0" w:line="240" w:lineRule="auto"/>
      </w:pPr>
    </w:p>
    <w:p w14:paraId="51CE5BA6" w14:textId="77777777" w:rsidR="00B97BA6" w:rsidRPr="000A2358" w:rsidRDefault="00B97BA6" w:rsidP="000A2358">
      <w:pPr>
        <w:spacing w:after="0" w:line="240" w:lineRule="auto"/>
      </w:pPr>
    </w:p>
    <w:p w14:paraId="31E2AD8F" w14:textId="5C3FE16F" w:rsidR="000A2358" w:rsidRPr="000A2358" w:rsidRDefault="000A2358" w:rsidP="000A2358">
      <w:pPr>
        <w:spacing w:after="0" w:line="240" w:lineRule="auto"/>
      </w:pPr>
    </w:p>
    <w:p w14:paraId="6029256F" w14:textId="77777777" w:rsidR="000A2358" w:rsidRPr="000A2358" w:rsidRDefault="000A2358" w:rsidP="000A2358">
      <w:pPr>
        <w:spacing w:after="0" w:line="240" w:lineRule="auto"/>
        <w:rPr>
          <w:b/>
          <w:bCs/>
        </w:rPr>
      </w:pPr>
      <w:r w:rsidRPr="000A2358">
        <w:rPr>
          <w:b/>
          <w:bCs/>
        </w:rPr>
        <w:lastRenderedPageBreak/>
        <w:t>12. Summary</w:t>
      </w:r>
    </w:p>
    <w:p w14:paraId="258DEF0A" w14:textId="77777777" w:rsidR="000A2358" w:rsidRPr="000A2358" w:rsidRDefault="000A2358" w:rsidP="000A2358">
      <w:pPr>
        <w:spacing w:after="0" w:line="240" w:lineRule="auto"/>
      </w:pPr>
      <w:r w:rsidRPr="000A2358">
        <w:t>DEI is committed to ensuring all individuals feel confident to raise concerns. Whistleblowing is a vital part of maintaining the safety, integrity, and quality of our services, including in equine-assisted learning and alternative provision.</w:t>
      </w:r>
    </w:p>
    <w:p w14:paraId="25D47770" w14:textId="7001D171" w:rsidR="00635060" w:rsidRPr="00C24C55" w:rsidRDefault="00635060" w:rsidP="000A2358">
      <w:pPr>
        <w:spacing w:after="0" w:line="240" w:lineRule="auto"/>
      </w:pPr>
    </w:p>
    <w:sectPr w:rsidR="00635060" w:rsidRPr="00C24C55" w:rsidSect="00B41F11">
      <w:headerReference w:type="default" r:id="rId18"/>
      <w:footerReference w:type="default" r:id="rId19"/>
      <w:pgSz w:w="11906" w:h="16838"/>
      <w:pgMar w:top="1702"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BDB4F" w14:textId="77777777" w:rsidR="007A0C24" w:rsidRDefault="007A0C24" w:rsidP="00013EC0">
      <w:pPr>
        <w:spacing w:after="0" w:line="240" w:lineRule="auto"/>
      </w:pPr>
      <w:r>
        <w:separator/>
      </w:r>
    </w:p>
  </w:endnote>
  <w:endnote w:type="continuationSeparator" w:id="0">
    <w:p w14:paraId="5E22511A" w14:textId="77777777" w:rsidR="007A0C24" w:rsidRDefault="007A0C24" w:rsidP="00013E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F4606" w14:textId="75CE0C24" w:rsidR="00B97BA6" w:rsidRPr="008F3488" w:rsidRDefault="00B97BA6" w:rsidP="00B97BA6">
    <w:pPr>
      <w:pStyle w:val="Footer"/>
      <w:jc w:val="center"/>
      <w:rPr>
        <w:caps/>
        <w:color w:val="000000" w:themeColor="text1"/>
      </w:rPr>
    </w:pPr>
    <w:r>
      <w:rPr>
        <w:caps/>
        <w:color w:val="000000" w:themeColor="text1"/>
      </w:rPr>
      <w:t xml:space="preserve">CREATED jANUARY 2025 </w:t>
    </w:r>
    <w:r>
      <w:rPr>
        <w:caps/>
        <w:color w:val="000000" w:themeColor="text1"/>
      </w:rPr>
      <w:t>–</w:t>
    </w:r>
    <w:r>
      <w:rPr>
        <w:caps/>
        <w:color w:val="000000" w:themeColor="text1"/>
      </w:rPr>
      <w:t xml:space="preserve"> jt</w:t>
    </w:r>
    <w:r>
      <w:rPr>
        <w:caps/>
        <w:color w:val="000000" w:themeColor="text1"/>
      </w:rPr>
      <w:t>.  Version 2.  Reviewed February 2026 – JT, changes made.  Review due February 2027</w:t>
    </w:r>
  </w:p>
  <w:p w14:paraId="20B817D5" w14:textId="77777777" w:rsidR="00CE70DD" w:rsidRPr="00CE70DD" w:rsidRDefault="00CE70DD" w:rsidP="00CE70DD">
    <w:pPr>
      <w:pStyle w:val="Footer"/>
      <w:spacing w:line="360" w:lineRule="auto"/>
      <w:jc w:val="center"/>
      <w:rPr>
        <w:rFonts w:ascii="Book Antiqua" w:hAnsi="Book Antiqua"/>
        <w:color w:val="66669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397DF4" w14:textId="77777777" w:rsidR="007A0C24" w:rsidRDefault="007A0C24" w:rsidP="00013EC0">
      <w:pPr>
        <w:spacing w:after="0" w:line="240" w:lineRule="auto"/>
      </w:pPr>
      <w:r>
        <w:separator/>
      </w:r>
    </w:p>
  </w:footnote>
  <w:footnote w:type="continuationSeparator" w:id="0">
    <w:p w14:paraId="6042AD6A" w14:textId="77777777" w:rsidR="007A0C24" w:rsidRDefault="007A0C24" w:rsidP="00013E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EC49C" w14:textId="77777777" w:rsidR="00F91665" w:rsidRDefault="00F91665">
    <w:pPr>
      <w:pStyle w:val="Header"/>
    </w:pPr>
    <w:r>
      <w:rPr>
        <w:noProof/>
        <w:lang w:eastAsia="en-GB"/>
      </w:rPr>
      <w:drawing>
        <wp:anchor distT="0" distB="0" distL="114300" distR="114300" simplePos="0" relativeHeight="251659264" behindDoc="0" locked="0" layoutInCell="1" allowOverlap="1" wp14:anchorId="69C0E42A" wp14:editId="27FE1619">
          <wp:simplePos x="0" y="0"/>
          <wp:positionH relativeFrom="margin">
            <wp:align>center</wp:align>
          </wp:positionH>
          <wp:positionV relativeFrom="paragraph">
            <wp:posOffset>76200</wp:posOffset>
          </wp:positionV>
          <wp:extent cx="2637175" cy="862794"/>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riginal on Transparen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37175" cy="862794"/>
                  </a:xfrm>
                  <a:prstGeom prst="rect">
                    <a:avLst/>
                  </a:prstGeom>
                </pic:spPr>
              </pic:pic>
            </a:graphicData>
          </a:graphic>
          <wp14:sizeRelH relativeFrom="margin">
            <wp14:pctWidth>0</wp14:pctWidth>
          </wp14:sizeRelH>
          <wp14:sizeRelV relativeFrom="margin">
            <wp14:pctHeight>0</wp14:pctHeight>
          </wp14:sizeRelV>
        </wp:anchor>
      </w:drawing>
    </w:r>
  </w:p>
  <w:p w14:paraId="490994B0" w14:textId="77777777" w:rsidR="00013EC0" w:rsidRDefault="00013E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42B83"/>
    <w:multiLevelType w:val="hybridMultilevel"/>
    <w:tmpl w:val="D7FEDC7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0EF03A78"/>
    <w:multiLevelType w:val="multilevel"/>
    <w:tmpl w:val="A0580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B6723E"/>
    <w:multiLevelType w:val="multilevel"/>
    <w:tmpl w:val="2E969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2876B3"/>
    <w:multiLevelType w:val="hybridMultilevel"/>
    <w:tmpl w:val="F044F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4074BD"/>
    <w:multiLevelType w:val="multilevel"/>
    <w:tmpl w:val="88A23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876837"/>
    <w:multiLevelType w:val="hybridMultilevel"/>
    <w:tmpl w:val="B15C9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187BD9"/>
    <w:multiLevelType w:val="hybridMultilevel"/>
    <w:tmpl w:val="F9420B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A802DD"/>
    <w:multiLevelType w:val="multilevel"/>
    <w:tmpl w:val="1D2C7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A85644"/>
    <w:multiLevelType w:val="multilevel"/>
    <w:tmpl w:val="74B83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DA69C3"/>
    <w:multiLevelType w:val="hybridMultilevel"/>
    <w:tmpl w:val="19063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893E0B"/>
    <w:multiLevelType w:val="hybridMultilevel"/>
    <w:tmpl w:val="D9728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70389E"/>
    <w:multiLevelType w:val="multilevel"/>
    <w:tmpl w:val="7C1A9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FB125A"/>
    <w:multiLevelType w:val="multilevel"/>
    <w:tmpl w:val="B84CAA3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F55686"/>
    <w:multiLevelType w:val="hybridMultilevel"/>
    <w:tmpl w:val="1E865B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4C3B47D0"/>
    <w:multiLevelType w:val="hybridMultilevel"/>
    <w:tmpl w:val="79624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EF6254"/>
    <w:multiLevelType w:val="hybridMultilevel"/>
    <w:tmpl w:val="F23EF96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6" w15:restartNumberingAfterBreak="0">
    <w:nsid w:val="59246FEA"/>
    <w:multiLevelType w:val="multilevel"/>
    <w:tmpl w:val="60E006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A4C68A4"/>
    <w:multiLevelType w:val="hybridMultilevel"/>
    <w:tmpl w:val="5610018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8" w15:restartNumberingAfterBreak="0">
    <w:nsid w:val="678D6837"/>
    <w:multiLevelType w:val="hybridMultilevel"/>
    <w:tmpl w:val="B0D087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E136F16"/>
    <w:multiLevelType w:val="multilevel"/>
    <w:tmpl w:val="F2A8D5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F2347EF"/>
    <w:multiLevelType w:val="multilevel"/>
    <w:tmpl w:val="B498D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2375535">
    <w:abstractNumId w:val="3"/>
  </w:num>
  <w:num w:numId="2" w16cid:durableId="793672476">
    <w:abstractNumId w:val="10"/>
  </w:num>
  <w:num w:numId="3" w16cid:durableId="141120101">
    <w:abstractNumId w:val="9"/>
  </w:num>
  <w:num w:numId="4" w16cid:durableId="610435054">
    <w:abstractNumId w:val="5"/>
  </w:num>
  <w:num w:numId="5" w16cid:durableId="1786001782">
    <w:abstractNumId w:val="6"/>
  </w:num>
  <w:num w:numId="6" w16cid:durableId="1455828169">
    <w:abstractNumId w:val="13"/>
  </w:num>
  <w:num w:numId="7" w16cid:durableId="924262270">
    <w:abstractNumId w:val="18"/>
  </w:num>
  <w:num w:numId="8" w16cid:durableId="1838034568">
    <w:abstractNumId w:val="15"/>
  </w:num>
  <w:num w:numId="9" w16cid:durableId="663511001">
    <w:abstractNumId w:val="14"/>
  </w:num>
  <w:num w:numId="10" w16cid:durableId="2038002437">
    <w:abstractNumId w:val="17"/>
  </w:num>
  <w:num w:numId="11" w16cid:durableId="1422874996">
    <w:abstractNumId w:val="0"/>
  </w:num>
  <w:num w:numId="12" w16cid:durableId="833763040">
    <w:abstractNumId w:val="12"/>
  </w:num>
  <w:num w:numId="13" w16cid:durableId="1075787479">
    <w:abstractNumId w:val="20"/>
  </w:num>
  <w:num w:numId="14" w16cid:durableId="867257912">
    <w:abstractNumId w:val="2"/>
  </w:num>
  <w:num w:numId="15" w16cid:durableId="1444416703">
    <w:abstractNumId w:val="1"/>
  </w:num>
  <w:num w:numId="16" w16cid:durableId="897977271">
    <w:abstractNumId w:val="11"/>
  </w:num>
  <w:num w:numId="17" w16cid:durableId="557474654">
    <w:abstractNumId w:val="4"/>
  </w:num>
  <w:num w:numId="18" w16cid:durableId="1292253020">
    <w:abstractNumId w:val="16"/>
  </w:num>
  <w:num w:numId="19" w16cid:durableId="1783300536">
    <w:abstractNumId w:val="19"/>
  </w:num>
  <w:num w:numId="20" w16cid:durableId="366806824">
    <w:abstractNumId w:val="8"/>
  </w:num>
  <w:num w:numId="21" w16cid:durableId="6497504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EC0"/>
    <w:rsid w:val="00013EC0"/>
    <w:rsid w:val="00066CBE"/>
    <w:rsid w:val="000A2358"/>
    <w:rsid w:val="00100C87"/>
    <w:rsid w:val="001C220D"/>
    <w:rsid w:val="001C69E1"/>
    <w:rsid w:val="00284F49"/>
    <w:rsid w:val="00314A63"/>
    <w:rsid w:val="00325B6F"/>
    <w:rsid w:val="00443C14"/>
    <w:rsid w:val="00453693"/>
    <w:rsid w:val="004A40B4"/>
    <w:rsid w:val="004E2527"/>
    <w:rsid w:val="00635060"/>
    <w:rsid w:val="006A2F57"/>
    <w:rsid w:val="00705455"/>
    <w:rsid w:val="00777B51"/>
    <w:rsid w:val="007A0C24"/>
    <w:rsid w:val="007D06D6"/>
    <w:rsid w:val="007D57C2"/>
    <w:rsid w:val="007E2A29"/>
    <w:rsid w:val="0085681A"/>
    <w:rsid w:val="00AD1B5A"/>
    <w:rsid w:val="00AF5F56"/>
    <w:rsid w:val="00B35BEF"/>
    <w:rsid w:val="00B41F11"/>
    <w:rsid w:val="00B65447"/>
    <w:rsid w:val="00B97BA6"/>
    <w:rsid w:val="00C0019F"/>
    <w:rsid w:val="00C24C55"/>
    <w:rsid w:val="00CE70DD"/>
    <w:rsid w:val="00E718A9"/>
    <w:rsid w:val="00F15AFF"/>
    <w:rsid w:val="00F6079C"/>
    <w:rsid w:val="00F82EE2"/>
    <w:rsid w:val="00F916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3DAA30"/>
  <w15:chartTrackingRefBased/>
  <w15:docId w15:val="{A38D8076-ADD5-4042-8326-478747A96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3E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3EC0"/>
  </w:style>
  <w:style w:type="paragraph" w:styleId="Footer">
    <w:name w:val="footer"/>
    <w:basedOn w:val="Normal"/>
    <w:link w:val="FooterChar"/>
    <w:uiPriority w:val="99"/>
    <w:unhideWhenUsed/>
    <w:rsid w:val="00013E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3EC0"/>
  </w:style>
  <w:style w:type="character" w:styleId="CommentReference">
    <w:name w:val="annotation reference"/>
    <w:basedOn w:val="DefaultParagraphFont"/>
    <w:uiPriority w:val="99"/>
    <w:semiHidden/>
    <w:unhideWhenUsed/>
    <w:rsid w:val="00E718A9"/>
    <w:rPr>
      <w:sz w:val="16"/>
      <w:szCs w:val="16"/>
    </w:rPr>
  </w:style>
  <w:style w:type="paragraph" w:styleId="CommentText">
    <w:name w:val="annotation text"/>
    <w:basedOn w:val="Normal"/>
    <w:link w:val="CommentTextChar"/>
    <w:uiPriority w:val="99"/>
    <w:semiHidden/>
    <w:unhideWhenUsed/>
    <w:rsid w:val="00E718A9"/>
    <w:pPr>
      <w:spacing w:line="240" w:lineRule="auto"/>
    </w:pPr>
    <w:rPr>
      <w:sz w:val="20"/>
      <w:szCs w:val="20"/>
    </w:rPr>
  </w:style>
  <w:style w:type="character" w:customStyle="1" w:styleId="CommentTextChar">
    <w:name w:val="Comment Text Char"/>
    <w:basedOn w:val="DefaultParagraphFont"/>
    <w:link w:val="CommentText"/>
    <w:uiPriority w:val="99"/>
    <w:semiHidden/>
    <w:rsid w:val="00E718A9"/>
    <w:rPr>
      <w:sz w:val="20"/>
      <w:szCs w:val="20"/>
    </w:rPr>
  </w:style>
  <w:style w:type="paragraph" w:styleId="CommentSubject">
    <w:name w:val="annotation subject"/>
    <w:basedOn w:val="CommentText"/>
    <w:next w:val="CommentText"/>
    <w:link w:val="CommentSubjectChar"/>
    <w:uiPriority w:val="99"/>
    <w:semiHidden/>
    <w:unhideWhenUsed/>
    <w:rsid w:val="00E718A9"/>
    <w:rPr>
      <w:b/>
      <w:bCs/>
    </w:rPr>
  </w:style>
  <w:style w:type="character" w:customStyle="1" w:styleId="CommentSubjectChar">
    <w:name w:val="Comment Subject Char"/>
    <w:basedOn w:val="CommentTextChar"/>
    <w:link w:val="CommentSubject"/>
    <w:uiPriority w:val="99"/>
    <w:semiHidden/>
    <w:rsid w:val="00E718A9"/>
    <w:rPr>
      <w:b/>
      <w:bCs/>
      <w:sz w:val="20"/>
      <w:szCs w:val="20"/>
    </w:rPr>
  </w:style>
  <w:style w:type="paragraph" w:styleId="BalloonText">
    <w:name w:val="Balloon Text"/>
    <w:basedOn w:val="Normal"/>
    <w:link w:val="BalloonTextChar"/>
    <w:uiPriority w:val="99"/>
    <w:semiHidden/>
    <w:unhideWhenUsed/>
    <w:rsid w:val="00E718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18A9"/>
    <w:rPr>
      <w:rFonts w:ascii="Segoe UI" w:hAnsi="Segoe UI" w:cs="Segoe UI"/>
      <w:sz w:val="18"/>
      <w:szCs w:val="18"/>
    </w:rPr>
  </w:style>
  <w:style w:type="character" w:styleId="Hyperlink">
    <w:name w:val="Hyperlink"/>
    <w:basedOn w:val="DefaultParagraphFont"/>
    <w:uiPriority w:val="99"/>
    <w:unhideWhenUsed/>
    <w:rsid w:val="00CE70DD"/>
    <w:rPr>
      <w:color w:val="0563C1" w:themeColor="hyperlink"/>
      <w:u w:val="single"/>
    </w:rPr>
  </w:style>
  <w:style w:type="paragraph" w:styleId="ListParagraph">
    <w:name w:val="List Paragraph"/>
    <w:basedOn w:val="Normal"/>
    <w:uiPriority w:val="34"/>
    <w:qFormat/>
    <w:rsid w:val="006A2F57"/>
    <w:pPr>
      <w:ind w:left="720"/>
      <w:contextualSpacing/>
    </w:pPr>
  </w:style>
  <w:style w:type="character" w:styleId="UnresolvedMention">
    <w:name w:val="Unresolved Mention"/>
    <w:basedOn w:val="DefaultParagraphFont"/>
    <w:uiPriority w:val="99"/>
    <w:semiHidden/>
    <w:unhideWhenUsed/>
    <w:rsid w:val="000A23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3502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tect-advice.org.uk/" TargetMode="External"/><Relationship Id="rId13" Type="http://schemas.openxmlformats.org/officeDocument/2006/relationships/hyperlink" Target="mailto:annward1960@gmail.com?subject=Whistleblowing%20concern"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annward1960@gmail.com?subject=Deerview%20Whistleblowing%20Concern" TargetMode="External"/><Relationship Id="rId12" Type="http://schemas.openxmlformats.org/officeDocument/2006/relationships/hyperlink" Target="mailto:info@deerviewequineinterventions.org?subject=Whistleblowing%20concern" TargetMode="External"/><Relationship Id="rId17" Type="http://schemas.openxmlformats.org/officeDocument/2006/relationships/hyperlink" Target="file:///T:\Deerview_jo%20Tucker\Deerview\Policies\Current%20policies\2023_12_Deerview_H&amp;S%20Policy.docx" TargetMode="External"/><Relationship Id="rId2" Type="http://schemas.openxmlformats.org/officeDocument/2006/relationships/styles" Target="styles.xml"/><Relationship Id="rId16" Type="http://schemas.openxmlformats.org/officeDocument/2006/relationships/hyperlink" Target="file:///T:\Deerview_jo%20Tucker\Deerview\Policies\Current%20policies\01_2026_Deerview_BCP%20Model%20Safeguarding%20and%20Child%20Protection%20Policy%20(2025-26).docx"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cas.org.uk/whistleblowing-at-work" TargetMode="External"/><Relationship Id="rId5" Type="http://schemas.openxmlformats.org/officeDocument/2006/relationships/footnotes" Target="footnotes.xml"/><Relationship Id="rId15" Type="http://schemas.openxmlformats.org/officeDocument/2006/relationships/hyperlink" Target="mailto:info@deerviewequineinterventions.org?subject=Whistleblowing%20concern" TargetMode="External"/><Relationship Id="rId10" Type="http://schemas.openxmlformats.org/officeDocument/2006/relationships/hyperlink" Target="https://www.nspcc.org.uk/what-you-can-do/report-abuse/whistleblowing/"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histleblowers-uk.org/" TargetMode="External"/><Relationship Id="rId14" Type="http://schemas.openxmlformats.org/officeDocument/2006/relationships/hyperlink" Target="file:///T:\Deerview_jo%20Tucker\Deerview\Policies\Current%20policies\01_2026_Deerview_BCP%20Model%20Safeguarding%20and%20Child%20Protection%20Policy%20(2025-26).doc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906</Words>
  <Characters>5167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Tucker</dc:creator>
  <cp:keywords/>
  <dc:description/>
  <cp:lastModifiedBy>Jo Tucker</cp:lastModifiedBy>
  <cp:revision>2</cp:revision>
  <cp:lastPrinted>2025-07-26T06:18:00Z</cp:lastPrinted>
  <dcterms:created xsi:type="dcterms:W3CDTF">2026-02-19T19:23:00Z</dcterms:created>
  <dcterms:modified xsi:type="dcterms:W3CDTF">2026-02-19T19:23:00Z</dcterms:modified>
</cp:coreProperties>
</file>