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4DB4" w14:textId="701C25C4" w:rsidR="00D5464B" w:rsidRPr="00D5464B" w:rsidRDefault="00D5464B" w:rsidP="00D5464B"/>
    <w:p w14:paraId="61BCAD22" w14:textId="2B4CFFCE" w:rsidR="00D5464B" w:rsidRPr="00D5464B" w:rsidRDefault="00D5464B" w:rsidP="00182BC0">
      <w:pPr>
        <w:jc w:val="center"/>
        <w:rPr>
          <w:b/>
          <w:bCs/>
        </w:rPr>
      </w:pPr>
      <w:r w:rsidRPr="00D5464B">
        <w:rPr>
          <w:b/>
          <w:bCs/>
        </w:rPr>
        <w:t>DATA PROTECTION POLICY</w:t>
      </w:r>
    </w:p>
    <w:p w14:paraId="1E4ADAC7" w14:textId="35123C7D" w:rsidR="00182BC0" w:rsidRPr="00D5464B" w:rsidRDefault="00D5464B" w:rsidP="00182BC0">
      <w:pPr>
        <w:jc w:val="center"/>
      </w:pPr>
      <w:r w:rsidRPr="00D5464B">
        <w:rPr>
          <w:b/>
          <w:bCs/>
        </w:rPr>
        <w:t>Deerview Equine Interventions (DEI)</w:t>
      </w:r>
      <w:r w:rsidRPr="00D5464B">
        <w:br/>
      </w:r>
    </w:p>
    <w:p w14:paraId="000E18D2" w14:textId="77777777" w:rsidR="00D5464B" w:rsidRPr="00D5464B" w:rsidRDefault="00D5464B" w:rsidP="00D5464B">
      <w:pPr>
        <w:rPr>
          <w:b/>
          <w:bCs/>
        </w:rPr>
      </w:pPr>
      <w:r w:rsidRPr="00D5464B">
        <w:rPr>
          <w:b/>
          <w:bCs/>
        </w:rPr>
        <w:t>1. Data Controller</w:t>
      </w:r>
    </w:p>
    <w:p w14:paraId="37DAEF01" w14:textId="77777777" w:rsidR="00D5464B" w:rsidRPr="00D5464B" w:rsidRDefault="00D5464B" w:rsidP="00D5464B">
      <w:r w:rsidRPr="00D5464B">
        <w:t>Deerview Equine Interventions is the Data Controller responsible for determining the purposes and means of processing personal data in accordance with the UK General Data Protection Regulation (UK GDPR) and the Information Commissioner's Office requirements.</w:t>
      </w:r>
    </w:p>
    <w:p w14:paraId="650FD47A" w14:textId="6BA98250" w:rsidR="00D5464B" w:rsidRPr="00D5464B" w:rsidRDefault="00D5464B" w:rsidP="00182BC0">
      <w:r w:rsidRPr="00D5464B">
        <w:t xml:space="preserve">ICO Registration Number: </w:t>
      </w:r>
      <w:r w:rsidR="00182BC0" w:rsidRPr="00182BC0">
        <w:t xml:space="preserve"> ZB405306</w:t>
      </w:r>
    </w:p>
    <w:p w14:paraId="4AB2F54E" w14:textId="31F8DEB8" w:rsidR="00D5464B" w:rsidRPr="00D5464B" w:rsidRDefault="00D5464B" w:rsidP="00D5464B">
      <w:r w:rsidRPr="00D5464B">
        <w:t>Data Protection Lead: Joanne Tucker</w:t>
      </w:r>
      <w:r w:rsidRPr="00D5464B">
        <w:br/>
        <w:t xml:space="preserve">Email: </w:t>
      </w:r>
      <w:hyperlink r:id="rId7" w:history="1">
        <w:r w:rsidRPr="00D5464B">
          <w:rPr>
            <w:rStyle w:val="Hyperlink"/>
          </w:rPr>
          <w:t>info@deerviewequineinterventions.org</w:t>
        </w:r>
      </w:hyperlink>
      <w:r w:rsidRPr="00D5464B">
        <w:br/>
        <w:t>Tel: 07341 041045</w:t>
      </w:r>
    </w:p>
    <w:p w14:paraId="29A8FA54" w14:textId="77777777" w:rsidR="00D5464B" w:rsidRPr="00D5464B" w:rsidRDefault="00D5464B" w:rsidP="00D5464B">
      <w:pPr>
        <w:rPr>
          <w:b/>
          <w:bCs/>
        </w:rPr>
      </w:pPr>
      <w:r w:rsidRPr="00D5464B">
        <w:rPr>
          <w:b/>
          <w:bCs/>
        </w:rPr>
        <w:t>2. Scope</w:t>
      </w:r>
    </w:p>
    <w:p w14:paraId="52983AB6" w14:textId="77777777" w:rsidR="00D5464B" w:rsidRPr="00D5464B" w:rsidRDefault="00D5464B" w:rsidP="00D5464B">
      <w:r w:rsidRPr="00D5464B">
        <w:t>This policy applies to all personal data processed by DEI relating to:</w:t>
      </w:r>
    </w:p>
    <w:p w14:paraId="35113BEC" w14:textId="76499FAE" w:rsidR="00D5464B" w:rsidRPr="00D5464B" w:rsidRDefault="00D5464B" w:rsidP="00182BC0">
      <w:pPr>
        <w:numPr>
          <w:ilvl w:val="0"/>
          <w:numId w:val="15"/>
        </w:numPr>
        <w:spacing w:after="0" w:line="240" w:lineRule="auto"/>
        <w:ind w:left="714" w:hanging="357"/>
      </w:pPr>
      <w:r w:rsidRPr="00D5464B">
        <w:t xml:space="preserve">Participants </w:t>
      </w:r>
      <w:r w:rsidR="00182BC0">
        <w:t>(children, young people and adults at risk)</w:t>
      </w:r>
    </w:p>
    <w:p w14:paraId="7134A479" w14:textId="77777777" w:rsidR="00D5464B" w:rsidRPr="00D5464B" w:rsidRDefault="00D5464B" w:rsidP="00182BC0">
      <w:pPr>
        <w:numPr>
          <w:ilvl w:val="0"/>
          <w:numId w:val="15"/>
        </w:numPr>
        <w:spacing w:after="0" w:line="240" w:lineRule="auto"/>
        <w:ind w:left="714" w:hanging="357"/>
      </w:pPr>
      <w:r w:rsidRPr="00D5464B">
        <w:t>Parents/carers</w:t>
      </w:r>
    </w:p>
    <w:p w14:paraId="0B96AAB3" w14:textId="77777777" w:rsidR="00D5464B" w:rsidRPr="00D5464B" w:rsidRDefault="00D5464B" w:rsidP="00182BC0">
      <w:pPr>
        <w:numPr>
          <w:ilvl w:val="0"/>
          <w:numId w:val="15"/>
        </w:numPr>
        <w:spacing w:after="0" w:line="240" w:lineRule="auto"/>
        <w:ind w:left="714" w:hanging="357"/>
      </w:pPr>
      <w:r w:rsidRPr="00D5464B">
        <w:t>Staff and volunteers</w:t>
      </w:r>
    </w:p>
    <w:p w14:paraId="2E1F4881" w14:textId="77777777" w:rsidR="00D5464B" w:rsidRPr="00D5464B" w:rsidRDefault="00D5464B" w:rsidP="00182BC0">
      <w:pPr>
        <w:numPr>
          <w:ilvl w:val="0"/>
          <w:numId w:val="15"/>
        </w:numPr>
        <w:spacing w:after="0" w:line="240" w:lineRule="auto"/>
        <w:ind w:left="714" w:hanging="357"/>
      </w:pPr>
      <w:r w:rsidRPr="00D5464B">
        <w:t>Trustees</w:t>
      </w:r>
    </w:p>
    <w:p w14:paraId="012D4E8A" w14:textId="77777777" w:rsidR="00D5464B" w:rsidRPr="00D5464B" w:rsidRDefault="00D5464B" w:rsidP="00182BC0">
      <w:pPr>
        <w:numPr>
          <w:ilvl w:val="0"/>
          <w:numId w:val="15"/>
        </w:numPr>
        <w:spacing w:after="0" w:line="240" w:lineRule="auto"/>
        <w:ind w:left="714" w:hanging="357"/>
      </w:pPr>
      <w:r w:rsidRPr="00D5464B">
        <w:t>Contractors</w:t>
      </w:r>
    </w:p>
    <w:p w14:paraId="422AB729" w14:textId="77777777" w:rsidR="00D5464B" w:rsidRPr="00D5464B" w:rsidRDefault="00D5464B" w:rsidP="00182BC0">
      <w:pPr>
        <w:numPr>
          <w:ilvl w:val="0"/>
          <w:numId w:val="15"/>
        </w:numPr>
        <w:spacing w:after="0" w:line="240" w:lineRule="auto"/>
        <w:ind w:left="714" w:hanging="357"/>
      </w:pPr>
      <w:r w:rsidRPr="00D5464B">
        <w:t>Referrers</w:t>
      </w:r>
    </w:p>
    <w:p w14:paraId="7BC16E1E" w14:textId="77777777" w:rsidR="00D5464B" w:rsidRPr="00D5464B" w:rsidRDefault="00D5464B" w:rsidP="00182BC0">
      <w:pPr>
        <w:numPr>
          <w:ilvl w:val="0"/>
          <w:numId w:val="15"/>
        </w:numPr>
        <w:spacing w:after="0" w:line="240" w:lineRule="auto"/>
        <w:ind w:left="714" w:hanging="357"/>
      </w:pPr>
      <w:r w:rsidRPr="00D5464B">
        <w:t>Partner agencies</w:t>
      </w:r>
    </w:p>
    <w:p w14:paraId="1D29B6AC" w14:textId="77777777" w:rsidR="00182BC0" w:rsidRDefault="00182BC0" w:rsidP="00D5464B"/>
    <w:p w14:paraId="13F69CA6" w14:textId="2C5611FA" w:rsidR="00D5464B" w:rsidRPr="00D5464B" w:rsidRDefault="00D5464B" w:rsidP="00D5464B">
      <w:r w:rsidRPr="00D5464B">
        <w:t>including data processed as part of Local Authority commissioned Alternative Provision and EHCP delivery.</w:t>
      </w:r>
    </w:p>
    <w:p w14:paraId="76E4361D" w14:textId="77777777" w:rsidR="00D5464B" w:rsidRPr="00D5464B" w:rsidRDefault="00D5464B" w:rsidP="00D5464B">
      <w:pPr>
        <w:rPr>
          <w:b/>
          <w:bCs/>
        </w:rPr>
      </w:pPr>
      <w:r w:rsidRPr="00D5464B">
        <w:rPr>
          <w:b/>
          <w:bCs/>
        </w:rPr>
        <w:t>3. Legal Framework</w:t>
      </w:r>
    </w:p>
    <w:p w14:paraId="2BFCDE03" w14:textId="77777777" w:rsidR="00D5464B" w:rsidRPr="00D5464B" w:rsidRDefault="00D5464B" w:rsidP="00D5464B">
      <w:r w:rsidRPr="00D5464B">
        <w:t>DEI processes data in accordance with:</w:t>
      </w:r>
    </w:p>
    <w:p w14:paraId="42DD3038" w14:textId="2960BAEF" w:rsidR="00D5464B" w:rsidRPr="00D5464B" w:rsidRDefault="00D5464B" w:rsidP="00182BC0">
      <w:pPr>
        <w:numPr>
          <w:ilvl w:val="0"/>
          <w:numId w:val="16"/>
        </w:numPr>
        <w:spacing w:after="0" w:line="240" w:lineRule="auto"/>
      </w:pPr>
      <w:r w:rsidRPr="00D5464B">
        <w:t>UK GDPR</w:t>
      </w:r>
      <w:r w:rsidR="00182BC0">
        <w:t xml:space="preserve"> and </w:t>
      </w:r>
      <w:r w:rsidRPr="00D5464B">
        <w:t>Data Protection Act 2018</w:t>
      </w:r>
    </w:p>
    <w:p w14:paraId="3A8FBC45" w14:textId="77777777" w:rsidR="00D5464B" w:rsidRPr="00D5464B" w:rsidRDefault="00D5464B" w:rsidP="00182BC0">
      <w:pPr>
        <w:numPr>
          <w:ilvl w:val="0"/>
          <w:numId w:val="16"/>
        </w:numPr>
        <w:spacing w:after="0" w:line="240" w:lineRule="auto"/>
      </w:pPr>
      <w:r w:rsidRPr="00D5464B">
        <w:t>Children Act safeguarding duties</w:t>
      </w:r>
    </w:p>
    <w:p w14:paraId="37367A6F" w14:textId="77777777" w:rsidR="00D5464B" w:rsidRPr="00D5464B" w:rsidRDefault="00D5464B" w:rsidP="00182BC0">
      <w:pPr>
        <w:numPr>
          <w:ilvl w:val="0"/>
          <w:numId w:val="16"/>
        </w:numPr>
        <w:spacing w:after="0" w:line="240" w:lineRule="auto"/>
      </w:pPr>
      <w:r w:rsidRPr="00D5464B">
        <w:t>Education and SEND legislation</w:t>
      </w:r>
    </w:p>
    <w:p w14:paraId="4003C639" w14:textId="77777777" w:rsidR="00D5464B" w:rsidRPr="00D5464B" w:rsidRDefault="00D5464B" w:rsidP="00182BC0">
      <w:pPr>
        <w:numPr>
          <w:ilvl w:val="0"/>
          <w:numId w:val="16"/>
        </w:numPr>
        <w:spacing w:after="0" w:line="240" w:lineRule="auto"/>
      </w:pPr>
      <w:r w:rsidRPr="00D5464B">
        <w:t>Working Together to Safeguard Children guidance</w:t>
      </w:r>
    </w:p>
    <w:p w14:paraId="6BD840A3" w14:textId="248D4493" w:rsidR="00D5464B" w:rsidRPr="00D5464B" w:rsidRDefault="00D5464B" w:rsidP="00182BC0">
      <w:pPr>
        <w:spacing w:after="0" w:line="240" w:lineRule="auto"/>
      </w:pPr>
    </w:p>
    <w:p w14:paraId="62349570" w14:textId="77777777" w:rsidR="00D5464B" w:rsidRPr="00D5464B" w:rsidRDefault="00D5464B" w:rsidP="00D5464B">
      <w:pPr>
        <w:rPr>
          <w:b/>
          <w:bCs/>
        </w:rPr>
      </w:pPr>
      <w:r w:rsidRPr="00D5464B">
        <w:rPr>
          <w:b/>
          <w:bCs/>
        </w:rPr>
        <w:t>4. Lawful Bases for Processing</w:t>
      </w:r>
    </w:p>
    <w:p w14:paraId="1655DD01" w14:textId="77777777" w:rsidR="00D5464B" w:rsidRPr="00D5464B" w:rsidRDefault="00D5464B" w:rsidP="00D5464B">
      <w:r w:rsidRPr="00D5464B">
        <w:t>Because DEI delivers Local Authority-commissioned Alternative Provision and supports EHCP outcomes, the primary lawful bases are:</w:t>
      </w:r>
    </w:p>
    <w:p w14:paraId="770C37BE" w14:textId="77777777" w:rsidR="00D5464B" w:rsidRPr="00D5464B" w:rsidRDefault="00D5464B" w:rsidP="00D5464B">
      <w:pPr>
        <w:rPr>
          <w:b/>
          <w:bCs/>
        </w:rPr>
      </w:pPr>
      <w:r w:rsidRPr="00D5464B">
        <w:rPr>
          <w:b/>
          <w:bCs/>
        </w:rPr>
        <w:t>Article 6 UK GDPR</w:t>
      </w:r>
    </w:p>
    <w:p w14:paraId="2AC35FB2" w14:textId="77777777" w:rsidR="00D5464B" w:rsidRPr="00D5464B" w:rsidRDefault="00D5464B" w:rsidP="00182BC0">
      <w:pPr>
        <w:numPr>
          <w:ilvl w:val="0"/>
          <w:numId w:val="17"/>
        </w:numPr>
        <w:spacing w:after="0" w:line="240" w:lineRule="auto"/>
      </w:pPr>
      <w:r w:rsidRPr="00D5464B">
        <w:rPr>
          <w:b/>
          <w:bCs/>
        </w:rPr>
        <w:t>Public Task</w:t>
      </w:r>
      <w:r w:rsidRPr="00D5464B">
        <w:t xml:space="preserve"> — delivery of education provision commissioned by Local Authority</w:t>
      </w:r>
    </w:p>
    <w:p w14:paraId="243B0A41" w14:textId="77777777" w:rsidR="00D5464B" w:rsidRPr="00D5464B" w:rsidRDefault="00D5464B" w:rsidP="00182BC0">
      <w:pPr>
        <w:numPr>
          <w:ilvl w:val="0"/>
          <w:numId w:val="17"/>
        </w:numPr>
        <w:spacing w:after="0" w:line="240" w:lineRule="auto"/>
      </w:pPr>
      <w:r w:rsidRPr="00D5464B">
        <w:rPr>
          <w:b/>
          <w:bCs/>
        </w:rPr>
        <w:t>Legal Obligation</w:t>
      </w:r>
      <w:r w:rsidRPr="00D5464B">
        <w:t xml:space="preserve"> — safeguarding duties, health and safety, employment law</w:t>
      </w:r>
    </w:p>
    <w:p w14:paraId="08052A3F" w14:textId="77777777" w:rsidR="00D5464B" w:rsidRPr="00D5464B" w:rsidRDefault="00D5464B" w:rsidP="00182BC0">
      <w:pPr>
        <w:numPr>
          <w:ilvl w:val="0"/>
          <w:numId w:val="17"/>
        </w:numPr>
        <w:spacing w:after="0" w:line="240" w:lineRule="auto"/>
      </w:pPr>
      <w:r w:rsidRPr="00D5464B">
        <w:rPr>
          <w:b/>
          <w:bCs/>
        </w:rPr>
        <w:t>Vital Interests</w:t>
      </w:r>
      <w:r w:rsidRPr="00D5464B">
        <w:t xml:space="preserve"> — protecting life or safety</w:t>
      </w:r>
    </w:p>
    <w:p w14:paraId="49326311" w14:textId="77777777" w:rsidR="00D5464B" w:rsidRPr="00D5464B" w:rsidRDefault="00D5464B" w:rsidP="00182BC0">
      <w:pPr>
        <w:numPr>
          <w:ilvl w:val="0"/>
          <w:numId w:val="17"/>
        </w:numPr>
        <w:spacing w:after="0" w:line="240" w:lineRule="auto"/>
      </w:pPr>
      <w:r w:rsidRPr="00D5464B">
        <w:rPr>
          <w:b/>
          <w:bCs/>
        </w:rPr>
        <w:lastRenderedPageBreak/>
        <w:t>Contract</w:t>
      </w:r>
      <w:r w:rsidRPr="00D5464B">
        <w:t xml:space="preserve"> — staff employment and service agreements</w:t>
      </w:r>
    </w:p>
    <w:p w14:paraId="2D0F5526" w14:textId="77777777" w:rsidR="00D5464B" w:rsidRPr="00D5464B" w:rsidRDefault="00D5464B" w:rsidP="00182BC0">
      <w:pPr>
        <w:numPr>
          <w:ilvl w:val="0"/>
          <w:numId w:val="17"/>
        </w:numPr>
        <w:spacing w:after="0" w:line="240" w:lineRule="auto"/>
      </w:pPr>
      <w:r w:rsidRPr="00D5464B">
        <w:rPr>
          <w:b/>
          <w:bCs/>
        </w:rPr>
        <w:t>Legitimate Interests</w:t>
      </w:r>
      <w:r w:rsidRPr="00D5464B">
        <w:t xml:space="preserve"> — organisational administration and communications</w:t>
      </w:r>
    </w:p>
    <w:p w14:paraId="404261B4" w14:textId="77777777" w:rsidR="00D5464B" w:rsidRPr="00D5464B" w:rsidRDefault="00D5464B" w:rsidP="00182BC0">
      <w:pPr>
        <w:numPr>
          <w:ilvl w:val="0"/>
          <w:numId w:val="17"/>
        </w:numPr>
        <w:spacing w:after="0" w:line="240" w:lineRule="auto"/>
      </w:pPr>
      <w:r w:rsidRPr="00D5464B">
        <w:rPr>
          <w:b/>
          <w:bCs/>
        </w:rPr>
        <w:t>Consent</w:t>
      </w:r>
      <w:r w:rsidRPr="00D5464B">
        <w:t xml:space="preserve"> — media use, optional services, research</w:t>
      </w:r>
    </w:p>
    <w:p w14:paraId="4DAB1A7F" w14:textId="58AC57BC" w:rsidR="00D5464B" w:rsidRPr="00D5464B" w:rsidRDefault="00D5464B" w:rsidP="00182BC0">
      <w:pPr>
        <w:spacing w:after="0" w:line="240" w:lineRule="auto"/>
      </w:pPr>
    </w:p>
    <w:p w14:paraId="38244763" w14:textId="77777777" w:rsidR="00D5464B" w:rsidRPr="00D5464B" w:rsidRDefault="00D5464B" w:rsidP="00D5464B">
      <w:pPr>
        <w:rPr>
          <w:b/>
          <w:bCs/>
        </w:rPr>
      </w:pPr>
      <w:r w:rsidRPr="00D5464B">
        <w:rPr>
          <w:b/>
          <w:bCs/>
        </w:rPr>
        <w:t>5. Special Category Data (Article 9)</w:t>
      </w:r>
    </w:p>
    <w:p w14:paraId="62D38538" w14:textId="77777777" w:rsidR="00D5464B" w:rsidRPr="00D5464B" w:rsidRDefault="00D5464B" w:rsidP="00D5464B">
      <w:r w:rsidRPr="00D5464B">
        <w:t>DEI processes special category data including:</w:t>
      </w:r>
    </w:p>
    <w:p w14:paraId="67AA9088" w14:textId="77777777" w:rsidR="00D5464B" w:rsidRPr="00D5464B" w:rsidRDefault="00D5464B" w:rsidP="00182BC0">
      <w:pPr>
        <w:numPr>
          <w:ilvl w:val="0"/>
          <w:numId w:val="18"/>
        </w:numPr>
        <w:spacing w:after="0" w:line="240" w:lineRule="auto"/>
        <w:ind w:left="714" w:hanging="357"/>
      </w:pPr>
      <w:r w:rsidRPr="00D5464B">
        <w:t>Health information</w:t>
      </w:r>
    </w:p>
    <w:p w14:paraId="15778D6C" w14:textId="77777777" w:rsidR="00D5464B" w:rsidRPr="00D5464B" w:rsidRDefault="00D5464B" w:rsidP="00182BC0">
      <w:pPr>
        <w:numPr>
          <w:ilvl w:val="0"/>
          <w:numId w:val="18"/>
        </w:numPr>
        <w:spacing w:after="0" w:line="240" w:lineRule="auto"/>
        <w:ind w:left="714" w:hanging="357"/>
      </w:pPr>
      <w:r w:rsidRPr="00D5464B">
        <w:t>SEND/EHCP data</w:t>
      </w:r>
    </w:p>
    <w:p w14:paraId="26791DCF" w14:textId="77777777" w:rsidR="00D5464B" w:rsidRPr="00D5464B" w:rsidRDefault="00D5464B" w:rsidP="00182BC0">
      <w:pPr>
        <w:numPr>
          <w:ilvl w:val="0"/>
          <w:numId w:val="18"/>
        </w:numPr>
        <w:spacing w:after="0" w:line="240" w:lineRule="auto"/>
        <w:ind w:left="714" w:hanging="357"/>
      </w:pPr>
      <w:r w:rsidRPr="00D5464B">
        <w:t>Mental health information</w:t>
      </w:r>
    </w:p>
    <w:p w14:paraId="0F79632C" w14:textId="77777777" w:rsidR="00D5464B" w:rsidRPr="00D5464B" w:rsidRDefault="00D5464B" w:rsidP="00182BC0">
      <w:pPr>
        <w:numPr>
          <w:ilvl w:val="0"/>
          <w:numId w:val="18"/>
        </w:numPr>
        <w:spacing w:after="0" w:line="240" w:lineRule="auto"/>
        <w:ind w:left="714" w:hanging="357"/>
      </w:pPr>
      <w:r w:rsidRPr="00D5464B">
        <w:t>Safeguarding records</w:t>
      </w:r>
    </w:p>
    <w:p w14:paraId="3EDE41B6" w14:textId="77777777" w:rsidR="00D5464B" w:rsidRPr="00D5464B" w:rsidRDefault="00D5464B" w:rsidP="00182BC0">
      <w:pPr>
        <w:numPr>
          <w:ilvl w:val="0"/>
          <w:numId w:val="18"/>
        </w:numPr>
        <w:spacing w:after="0" w:line="240" w:lineRule="auto"/>
        <w:ind w:left="714" w:hanging="357"/>
      </w:pPr>
      <w:r w:rsidRPr="00D5464B">
        <w:t>Behavioural data</w:t>
      </w:r>
    </w:p>
    <w:p w14:paraId="2D9C94D0" w14:textId="77777777" w:rsidR="00182BC0" w:rsidRDefault="00182BC0" w:rsidP="00D5464B"/>
    <w:p w14:paraId="6F8BBBD4" w14:textId="05767CC0" w:rsidR="00D5464B" w:rsidRPr="00D5464B" w:rsidRDefault="00D5464B" w:rsidP="00182BC0">
      <w:pPr>
        <w:spacing w:after="0" w:line="240" w:lineRule="auto"/>
      </w:pPr>
      <w:r w:rsidRPr="00D5464B">
        <w:t>Processing conditions relied upon include:</w:t>
      </w:r>
    </w:p>
    <w:p w14:paraId="5EB1B69D" w14:textId="77777777" w:rsidR="00D5464B" w:rsidRPr="00D5464B" w:rsidRDefault="00D5464B" w:rsidP="00182BC0">
      <w:pPr>
        <w:numPr>
          <w:ilvl w:val="0"/>
          <w:numId w:val="19"/>
        </w:numPr>
        <w:spacing w:after="0" w:line="240" w:lineRule="auto"/>
      </w:pPr>
      <w:r w:rsidRPr="00D5464B">
        <w:t>Safeguarding of children and individuals at risk</w:t>
      </w:r>
    </w:p>
    <w:p w14:paraId="62B795F3" w14:textId="77777777" w:rsidR="00D5464B" w:rsidRPr="00D5464B" w:rsidRDefault="00D5464B" w:rsidP="00182BC0">
      <w:pPr>
        <w:numPr>
          <w:ilvl w:val="0"/>
          <w:numId w:val="19"/>
        </w:numPr>
        <w:spacing w:after="0" w:line="240" w:lineRule="auto"/>
      </w:pPr>
      <w:r w:rsidRPr="00D5464B">
        <w:t>Provision of health or social care</w:t>
      </w:r>
    </w:p>
    <w:p w14:paraId="38008137" w14:textId="77777777" w:rsidR="00D5464B" w:rsidRPr="00D5464B" w:rsidRDefault="00D5464B" w:rsidP="00182BC0">
      <w:pPr>
        <w:numPr>
          <w:ilvl w:val="0"/>
          <w:numId w:val="19"/>
        </w:numPr>
        <w:spacing w:after="0" w:line="240" w:lineRule="auto"/>
      </w:pPr>
      <w:r w:rsidRPr="00D5464B">
        <w:t>Substantial public interest</w:t>
      </w:r>
    </w:p>
    <w:p w14:paraId="0669F114" w14:textId="77777777" w:rsidR="00D5464B" w:rsidRPr="00D5464B" w:rsidRDefault="00D5464B" w:rsidP="00182BC0">
      <w:pPr>
        <w:numPr>
          <w:ilvl w:val="0"/>
          <w:numId w:val="19"/>
        </w:numPr>
        <w:spacing w:after="0" w:line="240" w:lineRule="auto"/>
      </w:pPr>
      <w:r w:rsidRPr="00D5464B">
        <w:t>Explicit consent where appropriate</w:t>
      </w:r>
    </w:p>
    <w:p w14:paraId="2952346E" w14:textId="596117A0" w:rsidR="00D5464B" w:rsidRPr="00D5464B" w:rsidRDefault="00D5464B" w:rsidP="00182BC0">
      <w:pPr>
        <w:spacing w:after="0" w:line="240" w:lineRule="auto"/>
      </w:pPr>
    </w:p>
    <w:p w14:paraId="51B22139" w14:textId="77777777" w:rsidR="00D5464B" w:rsidRPr="00D5464B" w:rsidRDefault="00D5464B" w:rsidP="00D5464B">
      <w:pPr>
        <w:rPr>
          <w:b/>
          <w:bCs/>
        </w:rPr>
      </w:pPr>
      <w:r w:rsidRPr="00D5464B">
        <w:rPr>
          <w:b/>
          <w:bCs/>
        </w:rPr>
        <w:t>6. Criminal Offence Data</w:t>
      </w:r>
    </w:p>
    <w:p w14:paraId="662B9BB1" w14:textId="76BB01A1" w:rsidR="00D5464B" w:rsidRPr="00D5464B" w:rsidRDefault="00D5464B" w:rsidP="00D5464B">
      <w:r w:rsidRPr="00D5464B">
        <w:t>Where processed (e.g., safeguarding concerns), DEI relies on Schedule 1 conditions of the Data Protection Act 2018.</w:t>
      </w:r>
    </w:p>
    <w:p w14:paraId="3200C219" w14:textId="77777777" w:rsidR="00D5464B" w:rsidRPr="00D5464B" w:rsidRDefault="00D5464B" w:rsidP="00D5464B">
      <w:pPr>
        <w:rPr>
          <w:b/>
          <w:bCs/>
        </w:rPr>
      </w:pPr>
      <w:r w:rsidRPr="00D5464B">
        <w:rPr>
          <w:b/>
          <w:bCs/>
        </w:rPr>
        <w:t>7. Children’s Data</w:t>
      </w:r>
    </w:p>
    <w:p w14:paraId="62230907" w14:textId="77777777" w:rsidR="00D5464B" w:rsidRPr="00D5464B" w:rsidRDefault="00D5464B" w:rsidP="00D5464B">
      <w:r w:rsidRPr="00D5464B">
        <w:t>DEI recognises children as vulnerable data subjects.</w:t>
      </w:r>
    </w:p>
    <w:p w14:paraId="751E4A79" w14:textId="77777777" w:rsidR="00D5464B" w:rsidRPr="00D5464B" w:rsidRDefault="00D5464B" w:rsidP="00182BC0">
      <w:pPr>
        <w:numPr>
          <w:ilvl w:val="0"/>
          <w:numId w:val="20"/>
        </w:numPr>
        <w:spacing w:after="0" w:line="240" w:lineRule="auto"/>
      </w:pPr>
      <w:r w:rsidRPr="00D5464B">
        <w:t>Parent/carer involvement will be sought where appropriate</w:t>
      </w:r>
    </w:p>
    <w:p w14:paraId="261C0A9B" w14:textId="77777777" w:rsidR="00D5464B" w:rsidRPr="00D5464B" w:rsidRDefault="00D5464B" w:rsidP="00182BC0">
      <w:pPr>
        <w:numPr>
          <w:ilvl w:val="0"/>
          <w:numId w:val="20"/>
        </w:numPr>
        <w:spacing w:after="0" w:line="240" w:lineRule="auto"/>
      </w:pPr>
      <w:r w:rsidRPr="00D5464B">
        <w:t>Information will be shared with safeguarding agencies where required by law</w:t>
      </w:r>
    </w:p>
    <w:p w14:paraId="1CCF9F86" w14:textId="77777777" w:rsidR="00D5464B" w:rsidRPr="00D5464B" w:rsidRDefault="00D5464B" w:rsidP="00182BC0">
      <w:pPr>
        <w:numPr>
          <w:ilvl w:val="0"/>
          <w:numId w:val="20"/>
        </w:numPr>
        <w:spacing w:after="0" w:line="240" w:lineRule="auto"/>
      </w:pPr>
      <w:r w:rsidRPr="00D5464B">
        <w:t>Consent will not be relied upon where safeguarding duties apply</w:t>
      </w:r>
    </w:p>
    <w:p w14:paraId="64278888" w14:textId="376F25CD" w:rsidR="00D5464B" w:rsidRPr="00D5464B" w:rsidRDefault="00D5464B" w:rsidP="00182BC0">
      <w:pPr>
        <w:spacing w:after="0" w:line="240" w:lineRule="auto"/>
      </w:pPr>
    </w:p>
    <w:p w14:paraId="5BADB3BA" w14:textId="77777777" w:rsidR="00D5464B" w:rsidRPr="00D5464B" w:rsidRDefault="00D5464B" w:rsidP="00D5464B">
      <w:pPr>
        <w:rPr>
          <w:b/>
          <w:bCs/>
        </w:rPr>
      </w:pPr>
      <w:r w:rsidRPr="00D5464B">
        <w:rPr>
          <w:b/>
          <w:bCs/>
        </w:rPr>
        <w:t>8. Types of Data Held</w:t>
      </w:r>
    </w:p>
    <w:p w14:paraId="31D4DD1C" w14:textId="77777777" w:rsidR="00D5464B" w:rsidRPr="00D5464B" w:rsidRDefault="00D5464B" w:rsidP="00D5464B">
      <w:pPr>
        <w:rPr>
          <w:b/>
          <w:bCs/>
        </w:rPr>
      </w:pPr>
      <w:r w:rsidRPr="00D5464B">
        <w:rPr>
          <w:b/>
          <w:bCs/>
        </w:rPr>
        <w:t>Participant Data</w:t>
      </w:r>
    </w:p>
    <w:p w14:paraId="4E333C49" w14:textId="77777777" w:rsidR="00D5464B" w:rsidRPr="00D5464B" w:rsidRDefault="00D5464B" w:rsidP="00D5464B">
      <w:r w:rsidRPr="00D5464B">
        <w:t>May include:</w:t>
      </w:r>
    </w:p>
    <w:p w14:paraId="1E9C9071" w14:textId="77777777" w:rsidR="00D5464B" w:rsidRPr="00D5464B" w:rsidRDefault="00D5464B" w:rsidP="00182BC0">
      <w:pPr>
        <w:numPr>
          <w:ilvl w:val="0"/>
          <w:numId w:val="21"/>
        </w:numPr>
        <w:spacing w:after="0" w:line="240" w:lineRule="auto"/>
        <w:ind w:left="714" w:hanging="357"/>
      </w:pPr>
      <w:r w:rsidRPr="00D5464B">
        <w:t>Personal details</w:t>
      </w:r>
    </w:p>
    <w:p w14:paraId="775E034F" w14:textId="77777777" w:rsidR="00D5464B" w:rsidRPr="00D5464B" w:rsidRDefault="00D5464B" w:rsidP="00182BC0">
      <w:pPr>
        <w:numPr>
          <w:ilvl w:val="0"/>
          <w:numId w:val="21"/>
        </w:numPr>
        <w:spacing w:after="0" w:line="240" w:lineRule="auto"/>
        <w:ind w:left="714" w:hanging="357"/>
      </w:pPr>
      <w:r w:rsidRPr="00D5464B">
        <w:t>Contact information</w:t>
      </w:r>
    </w:p>
    <w:p w14:paraId="6CB1D9BE" w14:textId="77777777" w:rsidR="00D5464B" w:rsidRPr="00D5464B" w:rsidRDefault="00D5464B" w:rsidP="00182BC0">
      <w:pPr>
        <w:numPr>
          <w:ilvl w:val="0"/>
          <w:numId w:val="21"/>
        </w:numPr>
        <w:spacing w:after="0" w:line="240" w:lineRule="auto"/>
        <w:ind w:left="714" w:hanging="357"/>
      </w:pPr>
      <w:r w:rsidRPr="00D5464B">
        <w:t>EHCP documentation</w:t>
      </w:r>
    </w:p>
    <w:p w14:paraId="7DFB4B86" w14:textId="77777777" w:rsidR="00D5464B" w:rsidRPr="00D5464B" w:rsidRDefault="00D5464B" w:rsidP="00182BC0">
      <w:pPr>
        <w:numPr>
          <w:ilvl w:val="0"/>
          <w:numId w:val="21"/>
        </w:numPr>
        <w:spacing w:after="0" w:line="240" w:lineRule="auto"/>
        <w:ind w:left="714" w:hanging="357"/>
      </w:pPr>
      <w:r w:rsidRPr="00D5464B">
        <w:t>SEND information</w:t>
      </w:r>
    </w:p>
    <w:p w14:paraId="2C8D5D79" w14:textId="77777777" w:rsidR="00D5464B" w:rsidRPr="00D5464B" w:rsidRDefault="00D5464B" w:rsidP="00182BC0">
      <w:pPr>
        <w:numPr>
          <w:ilvl w:val="0"/>
          <w:numId w:val="21"/>
        </w:numPr>
        <w:spacing w:after="0" w:line="240" w:lineRule="auto"/>
        <w:ind w:left="714" w:hanging="357"/>
      </w:pPr>
      <w:r w:rsidRPr="00D5464B">
        <w:t>Behavioural assessments</w:t>
      </w:r>
    </w:p>
    <w:p w14:paraId="4647C64B" w14:textId="77777777" w:rsidR="00D5464B" w:rsidRPr="00D5464B" w:rsidRDefault="00D5464B" w:rsidP="00182BC0">
      <w:pPr>
        <w:numPr>
          <w:ilvl w:val="0"/>
          <w:numId w:val="21"/>
        </w:numPr>
        <w:spacing w:after="0" w:line="240" w:lineRule="auto"/>
        <w:ind w:left="714" w:hanging="357"/>
      </w:pPr>
      <w:r w:rsidRPr="00D5464B">
        <w:t>Risk assessments</w:t>
      </w:r>
    </w:p>
    <w:p w14:paraId="4A8F1532" w14:textId="77777777" w:rsidR="00D5464B" w:rsidRPr="00D5464B" w:rsidRDefault="00D5464B" w:rsidP="00182BC0">
      <w:pPr>
        <w:numPr>
          <w:ilvl w:val="0"/>
          <w:numId w:val="21"/>
        </w:numPr>
        <w:spacing w:after="0" w:line="240" w:lineRule="auto"/>
        <w:ind w:left="714" w:hanging="357"/>
      </w:pPr>
      <w:r w:rsidRPr="00D5464B">
        <w:t>Medical information</w:t>
      </w:r>
    </w:p>
    <w:p w14:paraId="6E2CF2DB" w14:textId="77777777" w:rsidR="00D5464B" w:rsidRPr="00D5464B" w:rsidRDefault="00D5464B" w:rsidP="00182BC0">
      <w:pPr>
        <w:numPr>
          <w:ilvl w:val="0"/>
          <w:numId w:val="21"/>
        </w:numPr>
        <w:spacing w:after="0" w:line="240" w:lineRule="auto"/>
        <w:ind w:left="714" w:hanging="357"/>
      </w:pPr>
      <w:r w:rsidRPr="00D5464B">
        <w:t>Safeguarding records</w:t>
      </w:r>
    </w:p>
    <w:p w14:paraId="4D6DB7A4" w14:textId="77777777" w:rsidR="00D5464B" w:rsidRPr="00D5464B" w:rsidRDefault="00D5464B" w:rsidP="00182BC0">
      <w:pPr>
        <w:numPr>
          <w:ilvl w:val="0"/>
          <w:numId w:val="21"/>
        </w:numPr>
        <w:spacing w:after="0" w:line="240" w:lineRule="auto"/>
        <w:ind w:left="714" w:hanging="357"/>
      </w:pPr>
      <w:r w:rsidRPr="00D5464B">
        <w:t>Attendance and progress data</w:t>
      </w:r>
    </w:p>
    <w:p w14:paraId="052AE0A1" w14:textId="77777777" w:rsidR="00D5464B" w:rsidRPr="00D5464B" w:rsidRDefault="00D5464B" w:rsidP="00D5464B">
      <w:pPr>
        <w:numPr>
          <w:ilvl w:val="0"/>
          <w:numId w:val="21"/>
        </w:numPr>
      </w:pPr>
      <w:r w:rsidRPr="00D5464B">
        <w:t>Incident and accident reports</w:t>
      </w:r>
    </w:p>
    <w:p w14:paraId="649FEA91" w14:textId="77777777" w:rsidR="00182BC0" w:rsidRDefault="00182BC0" w:rsidP="00D5464B"/>
    <w:p w14:paraId="44C48BDE" w14:textId="77777777" w:rsidR="00182BC0" w:rsidRDefault="00182BC0" w:rsidP="00D5464B"/>
    <w:p w14:paraId="20C05C09" w14:textId="77777777" w:rsidR="00182BC0" w:rsidRDefault="00182BC0" w:rsidP="00D5464B"/>
    <w:p w14:paraId="44560342" w14:textId="43369A0A" w:rsidR="00D5464B" w:rsidRPr="00D5464B" w:rsidRDefault="00D5464B" w:rsidP="00D5464B">
      <w:pPr>
        <w:rPr>
          <w:b/>
          <w:bCs/>
        </w:rPr>
      </w:pPr>
      <w:r w:rsidRPr="00D5464B">
        <w:rPr>
          <w:b/>
          <w:bCs/>
        </w:rPr>
        <w:t>9. Data Sharing</w:t>
      </w:r>
    </w:p>
    <w:p w14:paraId="32C7C89A" w14:textId="77777777" w:rsidR="00D5464B" w:rsidRPr="00D5464B" w:rsidRDefault="00D5464B" w:rsidP="00D5464B">
      <w:r w:rsidRPr="00D5464B">
        <w:t>DEI may share information with:</w:t>
      </w:r>
    </w:p>
    <w:p w14:paraId="35679CAE" w14:textId="77777777" w:rsidR="00D5464B" w:rsidRPr="00D5464B" w:rsidRDefault="00D5464B" w:rsidP="00182BC0">
      <w:pPr>
        <w:numPr>
          <w:ilvl w:val="0"/>
          <w:numId w:val="22"/>
        </w:numPr>
        <w:spacing w:after="0" w:line="240" w:lineRule="auto"/>
        <w:ind w:left="714" w:hanging="357"/>
      </w:pPr>
      <w:r w:rsidRPr="00D5464B">
        <w:t>Local Authorities</w:t>
      </w:r>
    </w:p>
    <w:p w14:paraId="62F285CB" w14:textId="77777777" w:rsidR="00D5464B" w:rsidRPr="00D5464B" w:rsidRDefault="00D5464B" w:rsidP="00182BC0">
      <w:pPr>
        <w:numPr>
          <w:ilvl w:val="0"/>
          <w:numId w:val="22"/>
        </w:numPr>
        <w:spacing w:after="0" w:line="240" w:lineRule="auto"/>
        <w:ind w:left="714" w:hanging="357"/>
      </w:pPr>
      <w:r w:rsidRPr="00D5464B">
        <w:t>Schools and colleges</w:t>
      </w:r>
    </w:p>
    <w:p w14:paraId="0D039AA2" w14:textId="77777777" w:rsidR="00D5464B" w:rsidRPr="00D5464B" w:rsidRDefault="00D5464B" w:rsidP="00182BC0">
      <w:pPr>
        <w:numPr>
          <w:ilvl w:val="0"/>
          <w:numId w:val="22"/>
        </w:numPr>
        <w:spacing w:after="0" w:line="240" w:lineRule="auto"/>
        <w:ind w:left="714" w:hanging="357"/>
      </w:pPr>
      <w:r w:rsidRPr="00D5464B">
        <w:t>NHS services</w:t>
      </w:r>
    </w:p>
    <w:p w14:paraId="5E50032E" w14:textId="77777777" w:rsidR="00D5464B" w:rsidRPr="00D5464B" w:rsidRDefault="00D5464B" w:rsidP="00182BC0">
      <w:pPr>
        <w:numPr>
          <w:ilvl w:val="0"/>
          <w:numId w:val="22"/>
        </w:numPr>
        <w:spacing w:after="0" w:line="240" w:lineRule="auto"/>
        <w:ind w:left="714" w:hanging="357"/>
      </w:pPr>
      <w:r w:rsidRPr="00D5464B">
        <w:t>Social care</w:t>
      </w:r>
    </w:p>
    <w:p w14:paraId="3E96DCBE" w14:textId="77777777" w:rsidR="00D5464B" w:rsidRPr="00D5464B" w:rsidRDefault="00D5464B" w:rsidP="00182BC0">
      <w:pPr>
        <w:numPr>
          <w:ilvl w:val="0"/>
          <w:numId w:val="22"/>
        </w:numPr>
        <w:spacing w:after="0" w:line="240" w:lineRule="auto"/>
        <w:ind w:left="714" w:hanging="357"/>
      </w:pPr>
      <w:r w:rsidRPr="00D5464B">
        <w:t>Multi-Agency Safeguarding Hubs (MASH)</w:t>
      </w:r>
    </w:p>
    <w:p w14:paraId="3C9F477B" w14:textId="77777777" w:rsidR="00D5464B" w:rsidRPr="00D5464B" w:rsidRDefault="00D5464B" w:rsidP="00182BC0">
      <w:pPr>
        <w:numPr>
          <w:ilvl w:val="0"/>
          <w:numId w:val="22"/>
        </w:numPr>
        <w:spacing w:after="0" w:line="240" w:lineRule="auto"/>
        <w:ind w:left="714" w:hanging="357"/>
      </w:pPr>
      <w:r w:rsidRPr="00D5464B">
        <w:t>Police</w:t>
      </w:r>
    </w:p>
    <w:p w14:paraId="45860716" w14:textId="77777777" w:rsidR="00D5464B" w:rsidRDefault="00D5464B" w:rsidP="00182BC0">
      <w:pPr>
        <w:numPr>
          <w:ilvl w:val="0"/>
          <w:numId w:val="22"/>
        </w:numPr>
        <w:spacing w:after="0" w:line="240" w:lineRule="auto"/>
        <w:ind w:left="714" w:hanging="357"/>
      </w:pPr>
      <w:r w:rsidRPr="00D5464B">
        <w:t>Regulatory bodies</w:t>
      </w:r>
    </w:p>
    <w:p w14:paraId="6C0862B7" w14:textId="6CA15A81" w:rsidR="00182BC0" w:rsidRPr="00D5464B" w:rsidRDefault="00913BD5" w:rsidP="00182BC0">
      <w:pPr>
        <w:numPr>
          <w:ilvl w:val="0"/>
          <w:numId w:val="22"/>
        </w:numPr>
        <w:spacing w:after="0" w:line="240" w:lineRule="auto"/>
        <w:ind w:left="714" w:hanging="357"/>
      </w:pPr>
      <w:r>
        <w:t>Referring organisations</w:t>
      </w:r>
    </w:p>
    <w:p w14:paraId="4FD0887A" w14:textId="77777777" w:rsidR="00913BD5" w:rsidRDefault="00913BD5" w:rsidP="00D5464B"/>
    <w:p w14:paraId="15D5253D" w14:textId="2DC19F59" w:rsidR="00D5464B" w:rsidRPr="00D5464B" w:rsidRDefault="00D5464B" w:rsidP="00D5464B">
      <w:r w:rsidRPr="00D5464B">
        <w:t>Information is shared only when lawful, necessary, and proportionate.</w:t>
      </w:r>
    </w:p>
    <w:p w14:paraId="2D024B8F" w14:textId="77777777" w:rsidR="00D5464B" w:rsidRPr="00D5464B" w:rsidRDefault="00D5464B" w:rsidP="00D5464B">
      <w:pPr>
        <w:rPr>
          <w:b/>
          <w:bCs/>
        </w:rPr>
      </w:pPr>
      <w:r w:rsidRPr="00D5464B">
        <w:rPr>
          <w:b/>
          <w:bCs/>
        </w:rPr>
        <w:t>10. CCTV and Security Cameras</w:t>
      </w:r>
    </w:p>
    <w:p w14:paraId="4C1981D8" w14:textId="77777777" w:rsidR="00D5464B" w:rsidRPr="00D5464B" w:rsidRDefault="00D5464B" w:rsidP="00D5464B">
      <w:r w:rsidRPr="00D5464B">
        <w:t>CCTV is used for:</w:t>
      </w:r>
    </w:p>
    <w:p w14:paraId="09970D98" w14:textId="77777777" w:rsidR="00D5464B" w:rsidRPr="00D5464B" w:rsidRDefault="00D5464B" w:rsidP="00913BD5">
      <w:pPr>
        <w:numPr>
          <w:ilvl w:val="0"/>
          <w:numId w:val="23"/>
        </w:numPr>
        <w:spacing w:after="0" w:line="240" w:lineRule="auto"/>
        <w:ind w:left="714" w:hanging="357"/>
      </w:pPr>
      <w:r w:rsidRPr="00D5464B">
        <w:t>Safety of participants, staff, and visitors</w:t>
      </w:r>
    </w:p>
    <w:p w14:paraId="02F136B2" w14:textId="77777777" w:rsidR="00D5464B" w:rsidRPr="00D5464B" w:rsidRDefault="00D5464B" w:rsidP="00913BD5">
      <w:pPr>
        <w:numPr>
          <w:ilvl w:val="0"/>
          <w:numId w:val="23"/>
        </w:numPr>
        <w:spacing w:after="0" w:line="240" w:lineRule="auto"/>
        <w:ind w:left="714" w:hanging="357"/>
      </w:pPr>
      <w:r w:rsidRPr="00D5464B">
        <w:t>Safeguarding</w:t>
      </w:r>
    </w:p>
    <w:p w14:paraId="7ACC0029" w14:textId="77777777" w:rsidR="00D5464B" w:rsidRPr="00D5464B" w:rsidRDefault="00D5464B" w:rsidP="00913BD5">
      <w:pPr>
        <w:numPr>
          <w:ilvl w:val="0"/>
          <w:numId w:val="23"/>
        </w:numPr>
        <w:spacing w:after="0" w:line="240" w:lineRule="auto"/>
        <w:ind w:left="714" w:hanging="357"/>
      </w:pPr>
      <w:r w:rsidRPr="00D5464B">
        <w:t>Crime prevention</w:t>
      </w:r>
    </w:p>
    <w:p w14:paraId="7F2F1942" w14:textId="77777777" w:rsidR="00D5464B" w:rsidRPr="00D5464B" w:rsidRDefault="00D5464B" w:rsidP="00D5464B">
      <w:r w:rsidRPr="00D5464B">
        <w:t>DEI ensures:</w:t>
      </w:r>
    </w:p>
    <w:p w14:paraId="4CE8ED31" w14:textId="77777777" w:rsidR="00D5464B" w:rsidRPr="00D5464B" w:rsidRDefault="00D5464B" w:rsidP="00913BD5">
      <w:pPr>
        <w:numPr>
          <w:ilvl w:val="0"/>
          <w:numId w:val="24"/>
        </w:numPr>
        <w:spacing w:after="0" w:line="240" w:lineRule="auto"/>
        <w:ind w:left="714" w:hanging="357"/>
      </w:pPr>
      <w:r w:rsidRPr="00D5464B">
        <w:t>Clear signage</w:t>
      </w:r>
    </w:p>
    <w:p w14:paraId="1EE04027" w14:textId="77777777" w:rsidR="00D5464B" w:rsidRPr="00D5464B" w:rsidRDefault="00D5464B" w:rsidP="00913BD5">
      <w:pPr>
        <w:numPr>
          <w:ilvl w:val="0"/>
          <w:numId w:val="24"/>
        </w:numPr>
        <w:spacing w:after="0" w:line="240" w:lineRule="auto"/>
        <w:ind w:left="714" w:hanging="357"/>
      </w:pPr>
      <w:r w:rsidRPr="00D5464B">
        <w:t>Limited retention</w:t>
      </w:r>
    </w:p>
    <w:p w14:paraId="1C09D95C" w14:textId="77777777" w:rsidR="00D5464B" w:rsidRPr="00D5464B" w:rsidRDefault="00D5464B" w:rsidP="00913BD5">
      <w:pPr>
        <w:numPr>
          <w:ilvl w:val="0"/>
          <w:numId w:val="24"/>
        </w:numPr>
        <w:spacing w:after="0" w:line="240" w:lineRule="auto"/>
        <w:ind w:left="714" w:hanging="357"/>
      </w:pPr>
      <w:r w:rsidRPr="00D5464B">
        <w:t>Restricted access</w:t>
      </w:r>
    </w:p>
    <w:p w14:paraId="40E452F2" w14:textId="77777777" w:rsidR="00D5464B" w:rsidRPr="00D5464B" w:rsidRDefault="00D5464B" w:rsidP="00913BD5">
      <w:pPr>
        <w:numPr>
          <w:ilvl w:val="0"/>
          <w:numId w:val="24"/>
        </w:numPr>
        <w:spacing w:after="0" w:line="240" w:lineRule="auto"/>
        <w:ind w:left="714" w:hanging="357"/>
      </w:pPr>
      <w:r w:rsidRPr="00D5464B">
        <w:t>Secure storage</w:t>
      </w:r>
    </w:p>
    <w:p w14:paraId="2B96E5C3" w14:textId="77777777" w:rsidR="00913BD5" w:rsidRDefault="00913BD5" w:rsidP="00D5464B"/>
    <w:p w14:paraId="7A0372ED" w14:textId="2F424E73" w:rsidR="00D5464B" w:rsidRPr="00D5464B" w:rsidRDefault="00D5464B" w:rsidP="00D5464B">
      <w:r w:rsidRPr="00D5464B">
        <w:t>CCTV images will not be used for monitoring behaviour unless required for safeguarding.</w:t>
      </w:r>
    </w:p>
    <w:p w14:paraId="715CE7EE" w14:textId="77777777" w:rsidR="00D5464B" w:rsidRPr="00D5464B" w:rsidRDefault="00D5464B" w:rsidP="00D5464B">
      <w:pPr>
        <w:rPr>
          <w:b/>
          <w:bCs/>
        </w:rPr>
      </w:pPr>
      <w:r w:rsidRPr="00D5464B">
        <w:rPr>
          <w:b/>
          <w:bCs/>
        </w:rPr>
        <w:t>11. Data Security Measures</w:t>
      </w:r>
    </w:p>
    <w:p w14:paraId="143A7CCA" w14:textId="77777777" w:rsidR="00D5464B" w:rsidRPr="00D5464B" w:rsidRDefault="00D5464B" w:rsidP="00D5464B">
      <w:r w:rsidRPr="00D5464B">
        <w:t>DEI implements appropriate technical and organisational measures including:</w:t>
      </w:r>
    </w:p>
    <w:p w14:paraId="70DA1D85" w14:textId="67AF5F47" w:rsidR="00D5464B" w:rsidRPr="00D5464B" w:rsidRDefault="00D5464B" w:rsidP="00913BD5">
      <w:pPr>
        <w:numPr>
          <w:ilvl w:val="0"/>
          <w:numId w:val="25"/>
        </w:numPr>
        <w:spacing w:after="0" w:line="240" w:lineRule="auto"/>
      </w:pPr>
      <w:r w:rsidRPr="00D5464B">
        <w:t>Secure cloud storag</w:t>
      </w:r>
      <w:r w:rsidR="00913BD5">
        <w:t>e</w:t>
      </w:r>
    </w:p>
    <w:p w14:paraId="7AAB5E7D" w14:textId="77777777" w:rsidR="00D5464B" w:rsidRPr="00D5464B" w:rsidRDefault="00D5464B" w:rsidP="00913BD5">
      <w:pPr>
        <w:numPr>
          <w:ilvl w:val="0"/>
          <w:numId w:val="25"/>
        </w:numPr>
        <w:spacing w:after="0" w:line="240" w:lineRule="auto"/>
      </w:pPr>
      <w:r w:rsidRPr="00D5464B">
        <w:t>Password protection</w:t>
      </w:r>
    </w:p>
    <w:p w14:paraId="1B54E643" w14:textId="77777777" w:rsidR="00D5464B" w:rsidRPr="00D5464B" w:rsidRDefault="00D5464B" w:rsidP="00913BD5">
      <w:pPr>
        <w:numPr>
          <w:ilvl w:val="0"/>
          <w:numId w:val="25"/>
        </w:numPr>
        <w:spacing w:after="0" w:line="240" w:lineRule="auto"/>
      </w:pPr>
      <w:r w:rsidRPr="00D5464B">
        <w:t>Access controls</w:t>
      </w:r>
    </w:p>
    <w:p w14:paraId="23124DC4" w14:textId="77777777" w:rsidR="00D5464B" w:rsidRPr="00D5464B" w:rsidRDefault="00D5464B" w:rsidP="00913BD5">
      <w:pPr>
        <w:numPr>
          <w:ilvl w:val="0"/>
          <w:numId w:val="25"/>
        </w:numPr>
        <w:spacing w:after="0" w:line="240" w:lineRule="auto"/>
      </w:pPr>
      <w:r w:rsidRPr="00D5464B">
        <w:t>Locked storage for paper records</w:t>
      </w:r>
    </w:p>
    <w:p w14:paraId="3A412221" w14:textId="35D4A34B" w:rsidR="00D5464B" w:rsidRPr="00D5464B" w:rsidRDefault="00D5464B" w:rsidP="00913BD5">
      <w:pPr>
        <w:numPr>
          <w:ilvl w:val="0"/>
          <w:numId w:val="25"/>
        </w:numPr>
        <w:spacing w:after="0" w:line="240" w:lineRule="auto"/>
      </w:pPr>
      <w:r w:rsidRPr="00D5464B">
        <w:t>Staff training</w:t>
      </w:r>
    </w:p>
    <w:p w14:paraId="6FC723F4" w14:textId="77777777" w:rsidR="00D5464B" w:rsidRPr="00D5464B" w:rsidRDefault="00D5464B" w:rsidP="00913BD5">
      <w:pPr>
        <w:numPr>
          <w:ilvl w:val="0"/>
          <w:numId w:val="25"/>
        </w:numPr>
        <w:spacing w:after="0" w:line="240" w:lineRule="auto"/>
      </w:pPr>
      <w:r w:rsidRPr="00D5464B">
        <w:t>Secure transfer methods</w:t>
      </w:r>
    </w:p>
    <w:p w14:paraId="45BB2AEC" w14:textId="647BE0F2" w:rsidR="00D5464B" w:rsidRPr="00D5464B" w:rsidRDefault="00D5464B" w:rsidP="00913BD5">
      <w:pPr>
        <w:spacing w:after="0" w:line="240" w:lineRule="auto"/>
      </w:pPr>
    </w:p>
    <w:p w14:paraId="386A6D23" w14:textId="77777777" w:rsidR="00D5464B" w:rsidRPr="00D5464B" w:rsidRDefault="00D5464B" w:rsidP="00D5464B">
      <w:pPr>
        <w:rPr>
          <w:b/>
          <w:bCs/>
        </w:rPr>
      </w:pPr>
      <w:r w:rsidRPr="00D5464B">
        <w:rPr>
          <w:b/>
          <w:bCs/>
        </w:rPr>
        <w:t>12. Data Retention</w:t>
      </w:r>
    </w:p>
    <w:p w14:paraId="65E9A38A" w14:textId="77777777" w:rsidR="00D5464B" w:rsidRPr="00D5464B" w:rsidRDefault="00D5464B" w:rsidP="00D5464B">
      <w:pPr>
        <w:rPr>
          <w:b/>
          <w:bCs/>
        </w:rPr>
      </w:pPr>
      <w:r w:rsidRPr="00D5464B">
        <w:rPr>
          <w:b/>
          <w:bCs/>
        </w:rPr>
        <w:t>Participants</w:t>
      </w:r>
    </w:p>
    <w:p w14:paraId="4F33DE71" w14:textId="77777777" w:rsidR="00D5464B" w:rsidRPr="00D5464B" w:rsidRDefault="00D5464B" w:rsidP="00913BD5">
      <w:pPr>
        <w:numPr>
          <w:ilvl w:val="0"/>
          <w:numId w:val="26"/>
        </w:numPr>
        <w:spacing w:after="0" w:line="240" w:lineRule="auto"/>
        <w:ind w:left="714" w:hanging="357"/>
      </w:pPr>
      <w:r w:rsidRPr="00D5464B">
        <w:t>Case records: retained in line with safeguarding guidance</w:t>
      </w:r>
    </w:p>
    <w:p w14:paraId="13E971D1" w14:textId="77777777" w:rsidR="00D5464B" w:rsidRPr="00D5464B" w:rsidRDefault="00D5464B" w:rsidP="00913BD5">
      <w:pPr>
        <w:numPr>
          <w:ilvl w:val="0"/>
          <w:numId w:val="26"/>
        </w:numPr>
        <w:spacing w:after="0" w:line="240" w:lineRule="auto"/>
        <w:ind w:left="714" w:hanging="357"/>
      </w:pPr>
      <w:r w:rsidRPr="00D5464B">
        <w:t>Safeguarding records: retained as required by local safeguarding partnership</w:t>
      </w:r>
    </w:p>
    <w:p w14:paraId="7DC00D74" w14:textId="77777777" w:rsidR="00D5464B" w:rsidRPr="00D5464B" w:rsidRDefault="00D5464B" w:rsidP="00913BD5">
      <w:pPr>
        <w:numPr>
          <w:ilvl w:val="0"/>
          <w:numId w:val="26"/>
        </w:numPr>
        <w:spacing w:after="0" w:line="240" w:lineRule="auto"/>
        <w:ind w:left="714" w:hanging="357"/>
      </w:pPr>
      <w:r w:rsidRPr="00D5464B">
        <w:t>EHCP-related records: retained in line with education requirements</w:t>
      </w:r>
    </w:p>
    <w:p w14:paraId="4BD113A0" w14:textId="77777777" w:rsidR="00D5464B" w:rsidRPr="00D5464B" w:rsidRDefault="00D5464B" w:rsidP="00D5464B">
      <w:pPr>
        <w:rPr>
          <w:b/>
          <w:bCs/>
        </w:rPr>
      </w:pPr>
      <w:r w:rsidRPr="00D5464B">
        <w:rPr>
          <w:b/>
          <w:bCs/>
        </w:rPr>
        <w:t>Staff</w:t>
      </w:r>
    </w:p>
    <w:p w14:paraId="2EEABDF6" w14:textId="77777777" w:rsidR="00D5464B" w:rsidRPr="00D5464B" w:rsidRDefault="00D5464B" w:rsidP="00D5464B">
      <w:pPr>
        <w:numPr>
          <w:ilvl w:val="0"/>
          <w:numId w:val="27"/>
        </w:numPr>
      </w:pPr>
      <w:r w:rsidRPr="00D5464B">
        <w:lastRenderedPageBreak/>
        <w:t>Personnel files retained according to employment law</w:t>
      </w:r>
    </w:p>
    <w:p w14:paraId="7E86623A" w14:textId="77777777" w:rsidR="00D5464B" w:rsidRPr="00D5464B" w:rsidRDefault="00D5464B" w:rsidP="00D5464B">
      <w:pPr>
        <w:rPr>
          <w:b/>
          <w:bCs/>
        </w:rPr>
      </w:pPr>
      <w:r w:rsidRPr="00D5464B">
        <w:rPr>
          <w:b/>
          <w:bCs/>
        </w:rPr>
        <w:t>CCTV</w:t>
      </w:r>
    </w:p>
    <w:p w14:paraId="04733F70" w14:textId="77777777" w:rsidR="00D5464B" w:rsidRPr="00D5464B" w:rsidRDefault="00D5464B" w:rsidP="00D5464B">
      <w:pPr>
        <w:numPr>
          <w:ilvl w:val="0"/>
          <w:numId w:val="28"/>
        </w:numPr>
      </w:pPr>
      <w:r w:rsidRPr="00D5464B">
        <w:t>Retained for a limited period unless required for investigation</w:t>
      </w:r>
    </w:p>
    <w:p w14:paraId="6AB4D9FA" w14:textId="77777777" w:rsidR="00D5464B" w:rsidRPr="00D5464B" w:rsidRDefault="00D5464B" w:rsidP="00D5464B">
      <w:pPr>
        <w:rPr>
          <w:b/>
          <w:bCs/>
        </w:rPr>
      </w:pPr>
      <w:r w:rsidRPr="00D5464B">
        <w:rPr>
          <w:b/>
          <w:bCs/>
        </w:rPr>
        <w:t>13. Data Protection Impact Assessments (DPIAs)</w:t>
      </w:r>
    </w:p>
    <w:p w14:paraId="371B4DD2" w14:textId="77777777" w:rsidR="00D5464B" w:rsidRPr="00D5464B" w:rsidRDefault="00D5464B" w:rsidP="00D5464B">
      <w:r w:rsidRPr="00D5464B">
        <w:t>DEI conducts DPIAs for high-risk processing including:</w:t>
      </w:r>
    </w:p>
    <w:p w14:paraId="2D8550C0" w14:textId="77777777" w:rsidR="00D5464B" w:rsidRPr="00D5464B" w:rsidRDefault="00D5464B" w:rsidP="00913BD5">
      <w:pPr>
        <w:numPr>
          <w:ilvl w:val="0"/>
          <w:numId w:val="29"/>
        </w:numPr>
        <w:spacing w:after="0" w:line="240" w:lineRule="auto"/>
      </w:pPr>
      <w:r w:rsidRPr="00D5464B">
        <w:t>Children’s data</w:t>
      </w:r>
    </w:p>
    <w:p w14:paraId="6E7798F5" w14:textId="77777777" w:rsidR="00D5464B" w:rsidRPr="00D5464B" w:rsidRDefault="00D5464B" w:rsidP="00913BD5">
      <w:pPr>
        <w:numPr>
          <w:ilvl w:val="0"/>
          <w:numId w:val="29"/>
        </w:numPr>
        <w:spacing w:after="0" w:line="240" w:lineRule="auto"/>
      </w:pPr>
      <w:r w:rsidRPr="00D5464B">
        <w:t>Safeguarding information</w:t>
      </w:r>
    </w:p>
    <w:p w14:paraId="7D33EC95" w14:textId="77777777" w:rsidR="00D5464B" w:rsidRPr="00D5464B" w:rsidRDefault="00D5464B" w:rsidP="00913BD5">
      <w:pPr>
        <w:numPr>
          <w:ilvl w:val="0"/>
          <w:numId w:val="29"/>
        </w:numPr>
        <w:spacing w:after="0" w:line="240" w:lineRule="auto"/>
      </w:pPr>
      <w:r w:rsidRPr="00D5464B">
        <w:t>SEND/EHCP data</w:t>
      </w:r>
    </w:p>
    <w:p w14:paraId="4C07FA74" w14:textId="77777777" w:rsidR="00D5464B" w:rsidRPr="00D5464B" w:rsidRDefault="00D5464B" w:rsidP="00913BD5">
      <w:pPr>
        <w:numPr>
          <w:ilvl w:val="0"/>
          <w:numId w:val="29"/>
        </w:numPr>
        <w:spacing w:after="0" w:line="240" w:lineRule="auto"/>
      </w:pPr>
      <w:r w:rsidRPr="00D5464B">
        <w:t>CCTV use</w:t>
      </w:r>
    </w:p>
    <w:p w14:paraId="69200463" w14:textId="37D40D3E" w:rsidR="00D5464B" w:rsidRPr="00D5464B" w:rsidRDefault="00D5464B" w:rsidP="00913BD5">
      <w:pPr>
        <w:spacing w:after="0" w:line="240" w:lineRule="auto"/>
      </w:pPr>
    </w:p>
    <w:p w14:paraId="0C55386A" w14:textId="77777777" w:rsidR="00D5464B" w:rsidRPr="00D5464B" w:rsidRDefault="00D5464B" w:rsidP="00D5464B">
      <w:pPr>
        <w:rPr>
          <w:b/>
          <w:bCs/>
        </w:rPr>
      </w:pPr>
      <w:r w:rsidRPr="00D5464B">
        <w:rPr>
          <w:b/>
          <w:bCs/>
        </w:rPr>
        <w:t>14. Data Subject Rights</w:t>
      </w:r>
    </w:p>
    <w:p w14:paraId="3C61E3F2" w14:textId="77777777" w:rsidR="00D5464B" w:rsidRPr="00D5464B" w:rsidRDefault="00D5464B" w:rsidP="00D5464B">
      <w:r w:rsidRPr="00D5464B">
        <w:t>Individuals have the right to:</w:t>
      </w:r>
    </w:p>
    <w:p w14:paraId="12727F8D" w14:textId="77777777" w:rsidR="00D5464B" w:rsidRPr="00D5464B" w:rsidRDefault="00D5464B" w:rsidP="00913BD5">
      <w:pPr>
        <w:numPr>
          <w:ilvl w:val="0"/>
          <w:numId w:val="30"/>
        </w:numPr>
        <w:spacing w:after="0" w:line="240" w:lineRule="auto"/>
        <w:ind w:left="714" w:hanging="357"/>
      </w:pPr>
      <w:r w:rsidRPr="00D5464B">
        <w:t>Access their data</w:t>
      </w:r>
    </w:p>
    <w:p w14:paraId="4D940662" w14:textId="77777777" w:rsidR="00D5464B" w:rsidRPr="00D5464B" w:rsidRDefault="00D5464B" w:rsidP="00913BD5">
      <w:pPr>
        <w:numPr>
          <w:ilvl w:val="0"/>
          <w:numId w:val="30"/>
        </w:numPr>
        <w:spacing w:after="0" w:line="240" w:lineRule="auto"/>
        <w:ind w:left="714" w:hanging="357"/>
      </w:pPr>
      <w:r w:rsidRPr="00D5464B">
        <w:t>Rectification</w:t>
      </w:r>
    </w:p>
    <w:p w14:paraId="42C5C65A" w14:textId="77777777" w:rsidR="00D5464B" w:rsidRPr="00D5464B" w:rsidRDefault="00D5464B" w:rsidP="00913BD5">
      <w:pPr>
        <w:numPr>
          <w:ilvl w:val="0"/>
          <w:numId w:val="30"/>
        </w:numPr>
        <w:spacing w:after="0" w:line="240" w:lineRule="auto"/>
        <w:ind w:left="714" w:hanging="357"/>
      </w:pPr>
      <w:r w:rsidRPr="00D5464B">
        <w:t>Erasure (where applicable)</w:t>
      </w:r>
    </w:p>
    <w:p w14:paraId="385741FD" w14:textId="77777777" w:rsidR="00D5464B" w:rsidRPr="00D5464B" w:rsidRDefault="00D5464B" w:rsidP="00913BD5">
      <w:pPr>
        <w:numPr>
          <w:ilvl w:val="0"/>
          <w:numId w:val="30"/>
        </w:numPr>
        <w:spacing w:after="0" w:line="240" w:lineRule="auto"/>
        <w:ind w:left="714" w:hanging="357"/>
      </w:pPr>
      <w:r w:rsidRPr="00D5464B">
        <w:t>Restriction</w:t>
      </w:r>
    </w:p>
    <w:p w14:paraId="068B51D8" w14:textId="77777777" w:rsidR="00D5464B" w:rsidRPr="00D5464B" w:rsidRDefault="00D5464B" w:rsidP="00913BD5">
      <w:pPr>
        <w:numPr>
          <w:ilvl w:val="0"/>
          <w:numId w:val="30"/>
        </w:numPr>
        <w:spacing w:after="0" w:line="240" w:lineRule="auto"/>
        <w:ind w:left="714" w:hanging="357"/>
      </w:pPr>
      <w:r w:rsidRPr="00D5464B">
        <w:t>Object to processing</w:t>
      </w:r>
    </w:p>
    <w:p w14:paraId="29CF7129" w14:textId="77777777" w:rsidR="00D5464B" w:rsidRPr="00D5464B" w:rsidRDefault="00D5464B" w:rsidP="00913BD5">
      <w:pPr>
        <w:numPr>
          <w:ilvl w:val="0"/>
          <w:numId w:val="30"/>
        </w:numPr>
        <w:spacing w:after="0" w:line="240" w:lineRule="auto"/>
        <w:ind w:left="714" w:hanging="357"/>
      </w:pPr>
      <w:r w:rsidRPr="00D5464B">
        <w:t>Data portability</w:t>
      </w:r>
    </w:p>
    <w:p w14:paraId="0B0D99BE" w14:textId="77777777" w:rsidR="00913BD5" w:rsidRDefault="00913BD5" w:rsidP="00D5464B"/>
    <w:p w14:paraId="0869C701" w14:textId="7707FD19" w:rsidR="00D5464B" w:rsidRPr="00D5464B" w:rsidRDefault="00D5464B" w:rsidP="00D5464B">
      <w:r w:rsidRPr="00D5464B">
        <w:t>Requests will be handled in accordance with ICO guidance.</w:t>
      </w:r>
    </w:p>
    <w:p w14:paraId="5D042104" w14:textId="77777777" w:rsidR="00D5464B" w:rsidRPr="00D5464B" w:rsidRDefault="00D5464B" w:rsidP="00D5464B">
      <w:pPr>
        <w:rPr>
          <w:b/>
          <w:bCs/>
        </w:rPr>
      </w:pPr>
      <w:r w:rsidRPr="00D5464B">
        <w:rPr>
          <w:b/>
          <w:bCs/>
        </w:rPr>
        <w:t>15. Data Breaches</w:t>
      </w:r>
    </w:p>
    <w:p w14:paraId="02738461" w14:textId="77777777" w:rsidR="00D5464B" w:rsidRPr="00D5464B" w:rsidRDefault="00D5464B" w:rsidP="00D5464B">
      <w:r w:rsidRPr="00D5464B">
        <w:t>In the event of a breach DEI will:</w:t>
      </w:r>
    </w:p>
    <w:p w14:paraId="24AA1C43" w14:textId="77777777" w:rsidR="00D5464B" w:rsidRPr="00D5464B" w:rsidRDefault="00D5464B" w:rsidP="00913BD5">
      <w:pPr>
        <w:numPr>
          <w:ilvl w:val="0"/>
          <w:numId w:val="31"/>
        </w:numPr>
        <w:spacing w:after="0" w:line="240" w:lineRule="auto"/>
        <w:ind w:left="714" w:hanging="357"/>
      </w:pPr>
      <w:r w:rsidRPr="00D5464B">
        <w:t>Contain the breach</w:t>
      </w:r>
    </w:p>
    <w:p w14:paraId="2D0AF176" w14:textId="77777777" w:rsidR="00D5464B" w:rsidRPr="00D5464B" w:rsidRDefault="00D5464B" w:rsidP="00913BD5">
      <w:pPr>
        <w:numPr>
          <w:ilvl w:val="0"/>
          <w:numId w:val="31"/>
        </w:numPr>
        <w:spacing w:after="0" w:line="240" w:lineRule="auto"/>
        <w:ind w:left="714" w:hanging="357"/>
      </w:pPr>
      <w:r w:rsidRPr="00D5464B">
        <w:t>Assess risk</w:t>
      </w:r>
    </w:p>
    <w:p w14:paraId="17DE126A" w14:textId="77777777" w:rsidR="00D5464B" w:rsidRPr="00D5464B" w:rsidRDefault="00D5464B" w:rsidP="00913BD5">
      <w:pPr>
        <w:numPr>
          <w:ilvl w:val="0"/>
          <w:numId w:val="31"/>
        </w:numPr>
        <w:spacing w:after="0" w:line="240" w:lineRule="auto"/>
        <w:ind w:left="714" w:hanging="357"/>
      </w:pPr>
      <w:r w:rsidRPr="00D5464B">
        <w:t>Notify affected individuals where required</w:t>
      </w:r>
    </w:p>
    <w:p w14:paraId="3D75181E" w14:textId="77777777" w:rsidR="00D5464B" w:rsidRPr="00D5464B" w:rsidRDefault="00D5464B" w:rsidP="00913BD5">
      <w:pPr>
        <w:numPr>
          <w:ilvl w:val="0"/>
          <w:numId w:val="31"/>
        </w:numPr>
        <w:spacing w:after="0" w:line="240" w:lineRule="auto"/>
        <w:ind w:left="714" w:hanging="357"/>
      </w:pPr>
      <w:r w:rsidRPr="00D5464B">
        <w:t>Report to the Information Commissioner's Office within 72 hours where necessary</w:t>
      </w:r>
    </w:p>
    <w:p w14:paraId="502B05CC" w14:textId="7B488DB5" w:rsidR="00D5464B" w:rsidRPr="00D5464B" w:rsidRDefault="00D5464B" w:rsidP="00D5464B"/>
    <w:p w14:paraId="1D8A4737" w14:textId="77777777" w:rsidR="00D5464B" w:rsidRPr="00D5464B" w:rsidRDefault="00D5464B" w:rsidP="00D5464B">
      <w:pPr>
        <w:rPr>
          <w:b/>
          <w:bCs/>
        </w:rPr>
      </w:pPr>
      <w:r w:rsidRPr="00D5464B">
        <w:rPr>
          <w:b/>
          <w:bCs/>
        </w:rPr>
        <w:t>16. Complaints</w:t>
      </w:r>
    </w:p>
    <w:p w14:paraId="525979B0" w14:textId="7C5D4186" w:rsidR="00D5464B" w:rsidRPr="00D5464B" w:rsidRDefault="00D5464B" w:rsidP="00D5464B">
      <w:r w:rsidRPr="00D5464B">
        <w:t>Individuals may complain to DEI or directly to the Information Commissioner's Office if dissatisfied.</w:t>
      </w:r>
    </w:p>
    <w:p w14:paraId="4D9E3020" w14:textId="77777777" w:rsidR="00D5464B" w:rsidRPr="00D5464B" w:rsidRDefault="00D5464B" w:rsidP="00D5464B">
      <w:pPr>
        <w:rPr>
          <w:b/>
          <w:bCs/>
        </w:rPr>
      </w:pPr>
      <w:r w:rsidRPr="00D5464B">
        <w:rPr>
          <w:b/>
          <w:bCs/>
        </w:rPr>
        <w:t>17. Staff Responsibilities</w:t>
      </w:r>
    </w:p>
    <w:p w14:paraId="48A917A3" w14:textId="77777777" w:rsidR="00D5464B" w:rsidRPr="00D5464B" w:rsidRDefault="00D5464B" w:rsidP="00D5464B">
      <w:r w:rsidRPr="00D5464B">
        <w:t>All staff must:</w:t>
      </w:r>
    </w:p>
    <w:p w14:paraId="19FCA428" w14:textId="77777777" w:rsidR="00D5464B" w:rsidRPr="00D5464B" w:rsidRDefault="00D5464B" w:rsidP="00913BD5">
      <w:pPr>
        <w:numPr>
          <w:ilvl w:val="0"/>
          <w:numId w:val="32"/>
        </w:numPr>
        <w:spacing w:after="0" w:line="240" w:lineRule="auto"/>
        <w:ind w:left="714" w:hanging="357"/>
      </w:pPr>
      <w:r w:rsidRPr="00D5464B">
        <w:t>Follow this policy</w:t>
      </w:r>
    </w:p>
    <w:p w14:paraId="0C324124" w14:textId="77777777" w:rsidR="00D5464B" w:rsidRPr="00D5464B" w:rsidRDefault="00D5464B" w:rsidP="00913BD5">
      <w:pPr>
        <w:numPr>
          <w:ilvl w:val="0"/>
          <w:numId w:val="32"/>
        </w:numPr>
        <w:spacing w:after="0" w:line="240" w:lineRule="auto"/>
        <w:ind w:left="714" w:hanging="357"/>
      </w:pPr>
      <w:r w:rsidRPr="00D5464B">
        <w:t>Complete training</w:t>
      </w:r>
    </w:p>
    <w:p w14:paraId="7EF9B4CD" w14:textId="77777777" w:rsidR="00D5464B" w:rsidRPr="00D5464B" w:rsidRDefault="00D5464B" w:rsidP="00913BD5">
      <w:pPr>
        <w:numPr>
          <w:ilvl w:val="0"/>
          <w:numId w:val="32"/>
        </w:numPr>
        <w:spacing w:after="0" w:line="240" w:lineRule="auto"/>
        <w:ind w:left="714" w:hanging="357"/>
      </w:pPr>
      <w:r w:rsidRPr="00D5464B">
        <w:t>Maintain confidentiality</w:t>
      </w:r>
    </w:p>
    <w:p w14:paraId="4C9A1B8D" w14:textId="77777777" w:rsidR="00D5464B" w:rsidRPr="00D5464B" w:rsidRDefault="00D5464B" w:rsidP="00913BD5">
      <w:pPr>
        <w:numPr>
          <w:ilvl w:val="0"/>
          <w:numId w:val="32"/>
        </w:numPr>
        <w:spacing w:after="0" w:line="240" w:lineRule="auto"/>
        <w:ind w:left="714" w:hanging="357"/>
      </w:pPr>
      <w:r w:rsidRPr="00D5464B">
        <w:t>Report concerns immediately</w:t>
      </w:r>
    </w:p>
    <w:p w14:paraId="2D27A722" w14:textId="77777777" w:rsidR="00913BD5" w:rsidRDefault="00913BD5" w:rsidP="00D5464B"/>
    <w:p w14:paraId="4F1FCC75" w14:textId="6998FCD0" w:rsidR="00D5464B" w:rsidRPr="00D5464B" w:rsidRDefault="00D5464B" w:rsidP="00D5464B">
      <w:r w:rsidRPr="00D5464B">
        <w:t>Failure to comply may result in disciplinary action.</w:t>
      </w:r>
    </w:p>
    <w:p w14:paraId="11F39559" w14:textId="413A032F" w:rsidR="00D5464B" w:rsidRPr="00D5464B" w:rsidRDefault="00D5464B" w:rsidP="00D5464B"/>
    <w:sectPr w:rsidR="00D5464B" w:rsidRPr="00D5464B" w:rsidSect="00B41F11">
      <w:headerReference w:type="even" r:id="rId8"/>
      <w:headerReference w:type="default" r:id="rId9"/>
      <w:footerReference w:type="even" r:id="rId10"/>
      <w:footerReference w:type="default" r:id="rId11"/>
      <w:headerReference w:type="first" r:id="rId12"/>
      <w:footerReference w:type="first" r:id="rId13"/>
      <w:pgSz w:w="11906" w:h="16838"/>
      <w:pgMar w:top="1702"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C727" w14:textId="77777777" w:rsidR="00B3572C" w:rsidRDefault="00B3572C" w:rsidP="00013EC0">
      <w:pPr>
        <w:spacing w:after="0" w:line="240" w:lineRule="auto"/>
      </w:pPr>
      <w:r>
        <w:separator/>
      </w:r>
    </w:p>
  </w:endnote>
  <w:endnote w:type="continuationSeparator" w:id="0">
    <w:p w14:paraId="00970979" w14:textId="77777777" w:rsidR="00B3572C" w:rsidRDefault="00B3572C" w:rsidP="0001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BB00" w14:textId="77777777" w:rsidR="00D364EF" w:rsidRDefault="00D3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6907" w14:textId="1AC55590" w:rsidR="00D364EF" w:rsidRDefault="00D364EF" w:rsidP="00D364EF">
    <w:pPr>
      <w:pStyle w:val="Footer"/>
    </w:pPr>
    <w:r>
      <w:t>Created March 2022 JT, version 00</w:t>
    </w:r>
    <w:r>
      <w:t>6</w:t>
    </w:r>
    <w:r>
      <w:t xml:space="preserve">, Reviewed </w:t>
    </w:r>
    <w:r>
      <w:t>February 2026</w:t>
    </w:r>
    <w:r>
      <w:t xml:space="preserve"> – JT, changes made</w:t>
    </w:r>
    <w:r>
      <w:t>.  Review due February 2027</w:t>
    </w:r>
  </w:p>
  <w:p w14:paraId="20B817D5" w14:textId="77777777" w:rsidR="00CE70DD" w:rsidRPr="00CE70DD" w:rsidRDefault="00CE70DD" w:rsidP="00CE70DD">
    <w:pPr>
      <w:pStyle w:val="Footer"/>
      <w:spacing w:line="360" w:lineRule="auto"/>
      <w:jc w:val="center"/>
      <w:rPr>
        <w:rFonts w:ascii="Book Antiqua" w:hAnsi="Book Antiqua"/>
        <w:color w:val="6666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D52E" w14:textId="77777777" w:rsidR="00D364EF" w:rsidRDefault="00D3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5730" w14:textId="77777777" w:rsidR="00B3572C" w:rsidRDefault="00B3572C" w:rsidP="00013EC0">
      <w:pPr>
        <w:spacing w:after="0" w:line="240" w:lineRule="auto"/>
      </w:pPr>
      <w:r>
        <w:separator/>
      </w:r>
    </w:p>
  </w:footnote>
  <w:footnote w:type="continuationSeparator" w:id="0">
    <w:p w14:paraId="23F7B3D6" w14:textId="77777777" w:rsidR="00B3572C" w:rsidRDefault="00B3572C" w:rsidP="0001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99BF" w14:textId="77777777" w:rsidR="00D364EF" w:rsidRDefault="00D3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49C" w14:textId="77777777" w:rsidR="00F91665" w:rsidRDefault="00F91665">
    <w:pPr>
      <w:pStyle w:val="Header"/>
    </w:pPr>
    <w:r>
      <w:rPr>
        <w:noProof/>
        <w:lang w:eastAsia="en-GB"/>
      </w:rPr>
      <w:drawing>
        <wp:anchor distT="0" distB="0" distL="114300" distR="114300" simplePos="0" relativeHeight="251659264" behindDoc="0" locked="0" layoutInCell="1" allowOverlap="1" wp14:anchorId="69C0E42A" wp14:editId="27FE1619">
          <wp:simplePos x="0" y="0"/>
          <wp:positionH relativeFrom="margin">
            <wp:align>center</wp:align>
          </wp:positionH>
          <wp:positionV relativeFrom="paragraph">
            <wp:posOffset>76200</wp:posOffset>
          </wp:positionV>
          <wp:extent cx="2637175" cy="86279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 on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7175" cy="862794"/>
                  </a:xfrm>
                  <a:prstGeom prst="rect">
                    <a:avLst/>
                  </a:prstGeom>
                </pic:spPr>
              </pic:pic>
            </a:graphicData>
          </a:graphic>
          <wp14:sizeRelH relativeFrom="margin">
            <wp14:pctWidth>0</wp14:pctWidth>
          </wp14:sizeRelH>
          <wp14:sizeRelV relativeFrom="margin">
            <wp14:pctHeight>0</wp14:pctHeight>
          </wp14:sizeRelV>
        </wp:anchor>
      </w:drawing>
    </w:r>
  </w:p>
  <w:p w14:paraId="490994B0" w14:textId="77777777" w:rsidR="00013EC0" w:rsidRDefault="00013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15F" w14:textId="77777777" w:rsidR="00D364EF" w:rsidRDefault="00D3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83"/>
    <w:multiLevelType w:val="hybridMultilevel"/>
    <w:tmpl w:val="D7FEDC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130B81"/>
    <w:multiLevelType w:val="multilevel"/>
    <w:tmpl w:val="EA3C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C7DE1"/>
    <w:multiLevelType w:val="multilevel"/>
    <w:tmpl w:val="EA6C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876B3"/>
    <w:multiLevelType w:val="hybridMultilevel"/>
    <w:tmpl w:val="F044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40EC8"/>
    <w:multiLevelType w:val="multilevel"/>
    <w:tmpl w:val="8FFE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0528B"/>
    <w:multiLevelType w:val="multilevel"/>
    <w:tmpl w:val="B734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55C23"/>
    <w:multiLevelType w:val="multilevel"/>
    <w:tmpl w:val="E134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76585"/>
    <w:multiLevelType w:val="multilevel"/>
    <w:tmpl w:val="E2E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618AA"/>
    <w:multiLevelType w:val="multilevel"/>
    <w:tmpl w:val="D95C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A6B34"/>
    <w:multiLevelType w:val="multilevel"/>
    <w:tmpl w:val="F5A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2003F"/>
    <w:multiLevelType w:val="multilevel"/>
    <w:tmpl w:val="4882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876837"/>
    <w:multiLevelType w:val="hybridMultilevel"/>
    <w:tmpl w:val="B15C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87BD9"/>
    <w:multiLevelType w:val="hybridMultilevel"/>
    <w:tmpl w:val="F9420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304D6"/>
    <w:multiLevelType w:val="multilevel"/>
    <w:tmpl w:val="644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60F31"/>
    <w:multiLevelType w:val="multilevel"/>
    <w:tmpl w:val="DB9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55DEC"/>
    <w:multiLevelType w:val="multilevel"/>
    <w:tmpl w:val="004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104A0"/>
    <w:multiLevelType w:val="multilevel"/>
    <w:tmpl w:val="1E50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E095A"/>
    <w:multiLevelType w:val="multilevel"/>
    <w:tmpl w:val="F92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D67B0"/>
    <w:multiLevelType w:val="multilevel"/>
    <w:tmpl w:val="1880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A69C3"/>
    <w:multiLevelType w:val="hybridMultilevel"/>
    <w:tmpl w:val="1906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72540"/>
    <w:multiLevelType w:val="multilevel"/>
    <w:tmpl w:val="8C3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93E0B"/>
    <w:multiLevelType w:val="hybridMultilevel"/>
    <w:tmpl w:val="D972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B125A"/>
    <w:multiLevelType w:val="multilevel"/>
    <w:tmpl w:val="B84CA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55686"/>
    <w:multiLevelType w:val="hybridMultilevel"/>
    <w:tmpl w:val="1E865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3B47D0"/>
    <w:multiLevelType w:val="hybridMultilevel"/>
    <w:tmpl w:val="7962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34D16"/>
    <w:multiLevelType w:val="multilevel"/>
    <w:tmpl w:val="FC3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F6254"/>
    <w:multiLevelType w:val="hybridMultilevel"/>
    <w:tmpl w:val="F23EF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3576D32"/>
    <w:multiLevelType w:val="multilevel"/>
    <w:tmpl w:val="DC52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C68A4"/>
    <w:multiLevelType w:val="hybridMultilevel"/>
    <w:tmpl w:val="561001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D29453D"/>
    <w:multiLevelType w:val="multilevel"/>
    <w:tmpl w:val="CA80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D6837"/>
    <w:multiLevelType w:val="hybridMultilevel"/>
    <w:tmpl w:val="B0D08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A5309C3"/>
    <w:multiLevelType w:val="multilevel"/>
    <w:tmpl w:val="6A22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375535">
    <w:abstractNumId w:val="3"/>
  </w:num>
  <w:num w:numId="2" w16cid:durableId="793672476">
    <w:abstractNumId w:val="21"/>
  </w:num>
  <w:num w:numId="3" w16cid:durableId="141120101">
    <w:abstractNumId w:val="19"/>
  </w:num>
  <w:num w:numId="4" w16cid:durableId="610435054">
    <w:abstractNumId w:val="11"/>
  </w:num>
  <w:num w:numId="5" w16cid:durableId="1786001782">
    <w:abstractNumId w:val="12"/>
  </w:num>
  <w:num w:numId="6" w16cid:durableId="1455828169">
    <w:abstractNumId w:val="23"/>
  </w:num>
  <w:num w:numId="7" w16cid:durableId="924262270">
    <w:abstractNumId w:val="30"/>
  </w:num>
  <w:num w:numId="8" w16cid:durableId="1838034568">
    <w:abstractNumId w:val="26"/>
  </w:num>
  <w:num w:numId="9" w16cid:durableId="663511001">
    <w:abstractNumId w:val="24"/>
  </w:num>
  <w:num w:numId="10" w16cid:durableId="2038002437">
    <w:abstractNumId w:val="28"/>
  </w:num>
  <w:num w:numId="11" w16cid:durableId="1422874996">
    <w:abstractNumId w:val="0"/>
  </w:num>
  <w:num w:numId="12" w16cid:durableId="833763040">
    <w:abstractNumId w:val="22"/>
  </w:num>
  <w:num w:numId="13" w16cid:durableId="761606931">
    <w:abstractNumId w:val="29"/>
  </w:num>
  <w:num w:numId="14" w16cid:durableId="288096595">
    <w:abstractNumId w:val="15"/>
  </w:num>
  <w:num w:numId="15" w16cid:durableId="575868026">
    <w:abstractNumId w:val="1"/>
  </w:num>
  <w:num w:numId="16" w16cid:durableId="1235778328">
    <w:abstractNumId w:val="25"/>
  </w:num>
  <w:num w:numId="17" w16cid:durableId="631247670">
    <w:abstractNumId w:val="5"/>
  </w:num>
  <w:num w:numId="18" w16cid:durableId="321081433">
    <w:abstractNumId w:val="20"/>
  </w:num>
  <w:num w:numId="19" w16cid:durableId="1403328450">
    <w:abstractNumId w:val="17"/>
  </w:num>
  <w:num w:numId="20" w16cid:durableId="1153984402">
    <w:abstractNumId w:val="18"/>
  </w:num>
  <w:num w:numId="21" w16cid:durableId="1244073230">
    <w:abstractNumId w:val="13"/>
  </w:num>
  <w:num w:numId="22" w16cid:durableId="2053966812">
    <w:abstractNumId w:val="2"/>
  </w:num>
  <w:num w:numId="23" w16cid:durableId="112527767">
    <w:abstractNumId w:val="6"/>
  </w:num>
  <w:num w:numId="24" w16cid:durableId="87972173">
    <w:abstractNumId w:val="14"/>
  </w:num>
  <w:num w:numId="25" w16cid:durableId="2144543962">
    <w:abstractNumId w:val="8"/>
  </w:num>
  <w:num w:numId="26" w16cid:durableId="3481959">
    <w:abstractNumId w:val="31"/>
  </w:num>
  <w:num w:numId="27" w16cid:durableId="1078284287">
    <w:abstractNumId w:val="7"/>
  </w:num>
  <w:num w:numId="28" w16cid:durableId="1475565066">
    <w:abstractNumId w:val="9"/>
  </w:num>
  <w:num w:numId="29" w16cid:durableId="765149275">
    <w:abstractNumId w:val="4"/>
  </w:num>
  <w:num w:numId="30" w16cid:durableId="820080437">
    <w:abstractNumId w:val="16"/>
  </w:num>
  <w:num w:numId="31" w16cid:durableId="2041319683">
    <w:abstractNumId w:val="10"/>
  </w:num>
  <w:num w:numId="32" w16cid:durableId="650712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C0"/>
    <w:rsid w:val="00013EC0"/>
    <w:rsid w:val="00066CBE"/>
    <w:rsid w:val="00100C87"/>
    <w:rsid w:val="00182BC0"/>
    <w:rsid w:val="001C220D"/>
    <w:rsid w:val="001C69E1"/>
    <w:rsid w:val="00284F49"/>
    <w:rsid w:val="002E590E"/>
    <w:rsid w:val="00314A63"/>
    <w:rsid w:val="00325B6F"/>
    <w:rsid w:val="00443C14"/>
    <w:rsid w:val="00453693"/>
    <w:rsid w:val="004A40B4"/>
    <w:rsid w:val="004E2527"/>
    <w:rsid w:val="00635060"/>
    <w:rsid w:val="00637704"/>
    <w:rsid w:val="006A2F57"/>
    <w:rsid w:val="00705455"/>
    <w:rsid w:val="00775318"/>
    <w:rsid w:val="00777B51"/>
    <w:rsid w:val="007D06D6"/>
    <w:rsid w:val="007D57C2"/>
    <w:rsid w:val="007E2A29"/>
    <w:rsid w:val="0085681A"/>
    <w:rsid w:val="00913BD5"/>
    <w:rsid w:val="00AD1B5A"/>
    <w:rsid w:val="00AF5F56"/>
    <w:rsid w:val="00B3572C"/>
    <w:rsid w:val="00B35BEF"/>
    <w:rsid w:val="00B41F11"/>
    <w:rsid w:val="00B65447"/>
    <w:rsid w:val="00C0019F"/>
    <w:rsid w:val="00C24C55"/>
    <w:rsid w:val="00CE70DD"/>
    <w:rsid w:val="00D364EF"/>
    <w:rsid w:val="00D5464B"/>
    <w:rsid w:val="00E718A9"/>
    <w:rsid w:val="00F15AFF"/>
    <w:rsid w:val="00F82EE2"/>
    <w:rsid w:val="00F9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AA30"/>
  <w15:chartTrackingRefBased/>
  <w15:docId w15:val="{A38D8076-ADD5-4042-8326-478747A9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C0"/>
  </w:style>
  <w:style w:type="paragraph" w:styleId="Footer">
    <w:name w:val="footer"/>
    <w:basedOn w:val="Normal"/>
    <w:link w:val="FooterChar"/>
    <w:uiPriority w:val="99"/>
    <w:unhideWhenUsed/>
    <w:rsid w:val="0001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C0"/>
  </w:style>
  <w:style w:type="character" w:styleId="CommentReference">
    <w:name w:val="annotation reference"/>
    <w:basedOn w:val="DefaultParagraphFont"/>
    <w:uiPriority w:val="99"/>
    <w:semiHidden/>
    <w:unhideWhenUsed/>
    <w:rsid w:val="00E718A9"/>
    <w:rPr>
      <w:sz w:val="16"/>
      <w:szCs w:val="16"/>
    </w:rPr>
  </w:style>
  <w:style w:type="paragraph" w:styleId="CommentText">
    <w:name w:val="annotation text"/>
    <w:basedOn w:val="Normal"/>
    <w:link w:val="CommentTextChar"/>
    <w:uiPriority w:val="99"/>
    <w:semiHidden/>
    <w:unhideWhenUsed/>
    <w:rsid w:val="00E718A9"/>
    <w:pPr>
      <w:spacing w:line="240" w:lineRule="auto"/>
    </w:pPr>
    <w:rPr>
      <w:sz w:val="20"/>
      <w:szCs w:val="20"/>
    </w:rPr>
  </w:style>
  <w:style w:type="character" w:customStyle="1" w:styleId="CommentTextChar">
    <w:name w:val="Comment Text Char"/>
    <w:basedOn w:val="DefaultParagraphFont"/>
    <w:link w:val="CommentText"/>
    <w:uiPriority w:val="99"/>
    <w:semiHidden/>
    <w:rsid w:val="00E718A9"/>
    <w:rPr>
      <w:sz w:val="20"/>
      <w:szCs w:val="20"/>
    </w:rPr>
  </w:style>
  <w:style w:type="paragraph" w:styleId="CommentSubject">
    <w:name w:val="annotation subject"/>
    <w:basedOn w:val="CommentText"/>
    <w:next w:val="CommentText"/>
    <w:link w:val="CommentSubjectChar"/>
    <w:uiPriority w:val="99"/>
    <w:semiHidden/>
    <w:unhideWhenUsed/>
    <w:rsid w:val="00E718A9"/>
    <w:rPr>
      <w:b/>
      <w:bCs/>
    </w:rPr>
  </w:style>
  <w:style w:type="character" w:customStyle="1" w:styleId="CommentSubjectChar">
    <w:name w:val="Comment Subject Char"/>
    <w:basedOn w:val="CommentTextChar"/>
    <w:link w:val="CommentSubject"/>
    <w:uiPriority w:val="99"/>
    <w:semiHidden/>
    <w:rsid w:val="00E718A9"/>
    <w:rPr>
      <w:b/>
      <w:bCs/>
      <w:sz w:val="20"/>
      <w:szCs w:val="20"/>
    </w:rPr>
  </w:style>
  <w:style w:type="paragraph" w:styleId="BalloonText">
    <w:name w:val="Balloon Text"/>
    <w:basedOn w:val="Normal"/>
    <w:link w:val="BalloonTextChar"/>
    <w:uiPriority w:val="99"/>
    <w:semiHidden/>
    <w:unhideWhenUsed/>
    <w:rsid w:val="00E7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A9"/>
    <w:rPr>
      <w:rFonts w:ascii="Segoe UI" w:hAnsi="Segoe UI" w:cs="Segoe UI"/>
      <w:sz w:val="18"/>
      <w:szCs w:val="18"/>
    </w:rPr>
  </w:style>
  <w:style w:type="character" w:styleId="Hyperlink">
    <w:name w:val="Hyperlink"/>
    <w:basedOn w:val="DefaultParagraphFont"/>
    <w:uiPriority w:val="99"/>
    <w:unhideWhenUsed/>
    <w:rsid w:val="00CE70DD"/>
    <w:rPr>
      <w:color w:val="0563C1" w:themeColor="hyperlink"/>
      <w:u w:val="single"/>
    </w:rPr>
  </w:style>
  <w:style w:type="paragraph" w:styleId="ListParagraph">
    <w:name w:val="List Paragraph"/>
    <w:basedOn w:val="Normal"/>
    <w:uiPriority w:val="34"/>
    <w:qFormat/>
    <w:rsid w:val="006A2F57"/>
    <w:pPr>
      <w:ind w:left="720"/>
      <w:contextualSpacing/>
    </w:pPr>
  </w:style>
  <w:style w:type="character" w:styleId="UnresolvedMention">
    <w:name w:val="Unresolved Mention"/>
    <w:basedOn w:val="DefaultParagraphFont"/>
    <w:uiPriority w:val="99"/>
    <w:semiHidden/>
    <w:unhideWhenUsed/>
    <w:rsid w:val="00D54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deerviewequineintervention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Tucker</dc:creator>
  <cp:keywords/>
  <dc:description/>
  <cp:lastModifiedBy>Jo Tucker</cp:lastModifiedBy>
  <cp:revision>3</cp:revision>
  <cp:lastPrinted>2025-07-26T06:18:00Z</cp:lastPrinted>
  <dcterms:created xsi:type="dcterms:W3CDTF">2026-02-19T15:31:00Z</dcterms:created>
  <dcterms:modified xsi:type="dcterms:W3CDTF">2026-02-19T18:56:00Z</dcterms:modified>
</cp:coreProperties>
</file>